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4B9F84" w14:textId="7E79821B" w:rsidR="00922068" w:rsidRPr="006F151C" w:rsidRDefault="00922068" w:rsidP="00C728FB">
      <w:pPr>
        <w:pStyle w:val="Intro"/>
        <w:tabs>
          <w:tab w:val="left" w:pos="5670"/>
        </w:tabs>
      </w:pPr>
    </w:p>
    <w:p w14:paraId="703349BE" w14:textId="77777777" w:rsidR="00922068" w:rsidRPr="006F151C" w:rsidRDefault="009E5E11" w:rsidP="00827692">
      <w:pPr>
        <w:pStyle w:val="Intro"/>
        <w:rPr>
          <w:lang w:val="en-GB"/>
        </w:rPr>
      </w:pPr>
      <w:r w:rsidRPr="006F151C">
        <w:rPr>
          <w:noProof/>
          <w:lang w:val="en-GB" w:eastAsia="en-GB"/>
        </w:rPr>
        <mc:AlternateContent>
          <mc:Choice Requires="wps">
            <w:drawing>
              <wp:anchor distT="0" distB="0" distL="114300" distR="114300" simplePos="0" relativeHeight="251656192" behindDoc="0" locked="0" layoutInCell="1" allowOverlap="1" wp14:anchorId="247C24DD" wp14:editId="2BED118C">
                <wp:simplePos x="0" y="0"/>
                <wp:positionH relativeFrom="margin">
                  <wp:align>center</wp:align>
                </wp:positionH>
                <wp:positionV relativeFrom="paragraph">
                  <wp:posOffset>1055370</wp:posOffset>
                </wp:positionV>
                <wp:extent cx="6549390" cy="1268730"/>
                <wp:effectExtent l="0" t="0" r="0" b="0"/>
                <wp:wrapNone/>
                <wp:docPr id="10" name="Shape 134">
                  <a:extLst xmlns:a="http://schemas.openxmlformats.org/drawingml/2006/main">
                    <a:ext uri="{FF2B5EF4-FFF2-40B4-BE49-F238E27FC236}">
                      <a16:creationId xmlns:a16="http://schemas.microsoft.com/office/drawing/2014/main" id="{D3368F4F-799F-41F1-80A1-7AD20D6567B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49390" cy="1268730"/>
                        </a:xfrm>
                        <a:prstGeom prst="rect">
                          <a:avLst/>
                        </a:prstGeom>
                        <a:noFill/>
                        <a:ln>
                          <a:noFill/>
                        </a:ln>
                      </wps:spPr>
                      <wps:txbx>
                        <w:txbxContent>
                          <w:p w14:paraId="5EAEE818" w14:textId="77777777" w:rsidR="00BB48D7" w:rsidRPr="002C3634" w:rsidRDefault="00BB48D7" w:rsidP="00EC59CA">
                            <w:pPr>
                              <w:pStyle w:val="Title"/>
                            </w:pPr>
                            <w:r w:rsidRPr="002C3634">
                              <w:rPr>
                                <w:rFonts w:eastAsia="Arial"/>
                              </w:rPr>
                              <w:t xml:space="preserve">Open Sea Aquaculture </w:t>
                            </w:r>
                            <w:r w:rsidRPr="002C3634">
                              <w:rPr>
                                <w:rFonts w:eastAsia="Arial"/>
                              </w:rPr>
                              <w:br/>
                              <w:t>in the Eastern Mediterranean</w:t>
                            </w:r>
                          </w:p>
                        </w:txbxContent>
                      </wps:txbx>
                      <wps:bodyPr spcFirstLastPara="1" wrap="square" lIns="101575" tIns="50775" rIns="101575" bIns="50775"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47C24DD" id="_x0000_t202" coordsize="21600,21600" o:spt="202" path="m,l,21600r21600,l21600,xe">
                <v:stroke joinstyle="miter"/>
                <v:path gradientshapeok="t" o:connecttype="rect"/>
              </v:shapetype>
              <v:shape id="Shape 134" o:spid="_x0000_s1026" type="#_x0000_t202" style="position:absolute;left:0;text-align:left;margin-left:0;margin-top:83.1pt;width:515.7pt;height:99.9pt;z-index:2516561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" filled="f" stroked="f">
                <v:path arrowok="t"/>
                <v:textbox inset="2.82153mm,1.41042mm,2.82153mm,1.41042mm">
                  <w:txbxContent>
                    <w:p w14:paraId="5EAEE818" w14:textId="77777777" w:rsidR="00BB48D7" w:rsidRPr="002C3634" w:rsidRDefault="00BB48D7" w:rsidP="00EC59CA">
                      <w:pPr>
                        <w:pStyle w:val="Title"/>
                      </w:pPr>
                      <w:r w:rsidRPr="002C3634">
                        <w:rPr>
                          <w:rFonts w:eastAsia="Arial"/>
                        </w:rPr>
                        <w:t xml:space="preserve">Open Sea Aquaculture </w:t>
                      </w:r>
                      <w:r w:rsidRPr="002C3634">
                        <w:rPr>
                          <w:rFonts w:eastAsia="Arial"/>
                        </w:rPr>
                        <w:br/>
                        <w:t>in the Eastern Mediterranean</w:t>
                      </w:r>
                    </w:p>
                  </w:txbxContent>
                </v:textbox>
                <w10:wrap anchorx="margin"/>
              </v:shape>
            </w:pict>
          </mc:Fallback>
        </mc:AlternateContent>
      </w:r>
      <w:r w:rsidR="00A100B9" w:rsidRPr="006F151C">
        <w:rPr>
          <w:noProof/>
          <w:lang w:val="en-GB" w:eastAsia="en-GB"/>
        </w:rPr>
        <w:drawing>
          <wp:inline distT="0" distB="0" distL="0" distR="0" wp14:anchorId="75507CEA" wp14:editId="40C6F9D5">
            <wp:extent cx="4664710" cy="1828800"/>
            <wp:effectExtent l="0" t="0" r="0" b="0"/>
            <wp:docPr id="13" name="Picture 12">
              <a:extLst xmlns:a="http://schemas.openxmlformats.org/drawingml/2006/main">
                <a:ext uri="{FF2B5EF4-FFF2-40B4-BE49-F238E27FC236}">
                  <a16:creationId xmlns:a16="http://schemas.microsoft.com/office/drawing/2014/main" id="{C8534D42-1CFB-425D-9960-BE84ADE8B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8534D42-1CFB-425D-9960-BE84ADE8B838}"/>
                        </a:ext>
                      </a:extLst>
                    </pic:cNvPr>
                    <pic:cNvPicPr>
                      <a:picLocks noChangeAspect="1"/>
                    </pic:cNvPicPr>
                  </pic:nvPicPr>
                  <pic:blipFill rotWithShape="1">
                    <a:blip r:embed="rId11"/>
                    <a:srcRect t="10066" b="8041"/>
                    <a:stretch/>
                  </pic:blipFill>
                  <pic:spPr bwMode="auto">
                    <a:xfrm>
                      <a:off x="0" y="0"/>
                      <a:ext cx="4666130" cy="1829357"/>
                    </a:xfrm>
                    <a:prstGeom prst="rect">
                      <a:avLst/>
                    </a:prstGeom>
                    <a:ln>
                      <a:noFill/>
                    </a:ln>
                    <a:effectLst>
                      <a:reflection endPos="0" dist="12700" dir="5400000" sy="-100000" algn="bl" rotWithShape="0"/>
                    </a:effectLst>
                    <a:extLst>
                      <a:ext uri="{53640926-AAD7-44D8-BBD7-CCE9431645EC}">
                        <a14:shadowObscured xmlns:a14="http://schemas.microsoft.com/office/drawing/2010/main"/>
                      </a:ext>
                    </a:extLst>
                  </pic:spPr>
                </pic:pic>
              </a:graphicData>
            </a:graphic>
          </wp:inline>
        </w:drawing>
      </w:r>
    </w:p>
    <w:p w14:paraId="7AA0E01A" w14:textId="77777777" w:rsidR="002A6917" w:rsidRPr="006F151C" w:rsidRDefault="002A6917" w:rsidP="00827692">
      <w:pPr>
        <w:pStyle w:val="Intro"/>
        <w:rPr>
          <w:lang w:val="en-GB"/>
        </w:rPr>
      </w:pPr>
    </w:p>
    <w:p w14:paraId="08C24B32" w14:textId="77777777" w:rsidR="002A6917" w:rsidRPr="006F151C" w:rsidRDefault="002A6917" w:rsidP="00827692">
      <w:pPr>
        <w:pStyle w:val="Intro"/>
        <w:rPr>
          <w:lang w:val="en-GB"/>
        </w:rPr>
      </w:pPr>
    </w:p>
    <w:p w14:paraId="20CB797C" w14:textId="77777777" w:rsidR="009E5E11" w:rsidRPr="006F151C" w:rsidRDefault="004913D1" w:rsidP="006D78A2">
      <w:pPr>
        <w:pStyle w:val="Intro"/>
        <w:rPr>
          <w:lang w:val="en-GB"/>
        </w:rPr>
      </w:pPr>
      <w:r w:rsidRPr="006F151C">
        <w:rPr>
          <w:noProof/>
          <w:lang w:val="en-GB" w:eastAsia="en-GB"/>
        </w:rPr>
        <w:drawing>
          <wp:anchor distT="0" distB="0" distL="114300" distR="114300" simplePos="0" relativeHeight="251656193" behindDoc="0" locked="0" layoutInCell="1" allowOverlap="1" wp14:anchorId="29C8B2A0" wp14:editId="4CFB2262">
            <wp:simplePos x="0" y="0"/>
            <wp:positionH relativeFrom="column">
              <wp:posOffset>7620</wp:posOffset>
            </wp:positionH>
            <wp:positionV relativeFrom="paragraph">
              <wp:posOffset>1082345</wp:posOffset>
            </wp:positionV>
            <wp:extent cx="5943600" cy="1005840"/>
            <wp:effectExtent l="0" t="0" r="0" b="3810"/>
            <wp:wrapTopAndBottom/>
            <wp:docPr id="6" name="Picture 6"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RI-Sense Acknowledgement.png"/>
                    <pic:cNvPicPr/>
                  </pic:nvPicPr>
                  <pic:blipFill rotWithShape="1">
                    <a:blip r:embed="rId12" cstate="print">
                      <a:extLst>
                        <a:ext uri="{28A0092B-C50C-407E-A947-70E740481C1C}">
                          <a14:useLocalDpi xmlns:a14="http://schemas.microsoft.com/office/drawing/2010/main" val="0"/>
                        </a:ext>
                      </a:extLst>
                    </a:blip>
                    <a:srcRect t="46392" b="2578"/>
                    <a:stretch/>
                  </pic:blipFill>
                  <pic:spPr bwMode="auto">
                    <a:xfrm>
                      <a:off x="0" y="0"/>
                      <a:ext cx="5943600" cy="100584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E5E11" w:rsidRPr="006F151C">
        <w:rPr>
          <w:lang w:val="en-GB"/>
        </w:rPr>
        <w:t>The Project is co-financed with 800 K Euro by the European Regional Development Fund and the Republic of Cyprus through the Research and Innovation Foundation with grant number INTEGRATED/0918/0046</w:t>
      </w:r>
    </w:p>
    <w:p w14:paraId="390045FE" w14:textId="77777777" w:rsidR="002A6917" w:rsidRPr="006F151C" w:rsidRDefault="002A6917" w:rsidP="00C96888">
      <w:pPr>
        <w:rPr>
          <w:lang w:val="en-GB"/>
        </w:rPr>
      </w:pPr>
    </w:p>
    <w:p w14:paraId="5A89E0BD" w14:textId="77777777" w:rsidR="004E4AD3" w:rsidRPr="006F151C" w:rsidRDefault="004E4AD3" w:rsidP="007623BE">
      <w:pPr>
        <w:pStyle w:val="Affil"/>
        <w:rPr>
          <w:rFonts w:cs="Arial"/>
          <w:szCs w:val="24"/>
          <w:lang w:val="en-GB"/>
        </w:rPr>
      </w:pPr>
      <w:r w:rsidRPr="006F151C">
        <w:rPr>
          <w:rStyle w:val="Strong"/>
          <w:lang w:val="en-GB"/>
        </w:rPr>
        <w:t>Work Package ID:</w:t>
      </w:r>
      <w:r w:rsidRPr="006F151C">
        <w:rPr>
          <w:rFonts w:cs="Arial"/>
          <w:szCs w:val="24"/>
          <w:lang w:val="en-GB"/>
        </w:rPr>
        <w:t xml:space="preserve"> </w:t>
      </w:r>
      <w:r w:rsidR="007623BE" w:rsidRPr="006F151C">
        <w:rPr>
          <w:rFonts w:cs="Arial"/>
          <w:szCs w:val="24"/>
          <w:lang w:val="en-GB"/>
        </w:rPr>
        <w:tab/>
      </w:r>
      <w:r w:rsidRPr="006F151C">
        <w:rPr>
          <w:rFonts w:cs="Arial"/>
          <w:szCs w:val="24"/>
          <w:lang w:val="en-GB"/>
        </w:rPr>
        <w:t>WP</w:t>
      </w:r>
      <w:r w:rsidR="00923C49" w:rsidRPr="006F151C">
        <w:rPr>
          <w:rFonts w:cs="Arial"/>
          <w:szCs w:val="24"/>
          <w:lang w:val="en-GB"/>
        </w:rPr>
        <w:t>3</w:t>
      </w:r>
    </w:p>
    <w:p w14:paraId="767F86BA" w14:textId="77777777" w:rsidR="004E4AD3" w:rsidRPr="006F151C" w:rsidRDefault="004E4AD3" w:rsidP="007623BE">
      <w:pPr>
        <w:pStyle w:val="Affil"/>
        <w:rPr>
          <w:rFonts w:cs="Arial"/>
          <w:szCs w:val="24"/>
          <w:lang w:val="en-GB"/>
        </w:rPr>
      </w:pPr>
    </w:p>
    <w:p w14:paraId="15608622" w14:textId="77777777" w:rsidR="004E4AD3" w:rsidRPr="006F151C" w:rsidRDefault="004E4AD3" w:rsidP="007623BE">
      <w:pPr>
        <w:pStyle w:val="Affil"/>
        <w:rPr>
          <w:lang w:val="en-GB"/>
        </w:rPr>
      </w:pPr>
      <w:r w:rsidRPr="006F151C">
        <w:rPr>
          <w:rStyle w:val="Strong"/>
          <w:lang w:val="en-GB"/>
        </w:rPr>
        <w:t>Work Package Title:</w:t>
      </w:r>
      <w:r w:rsidRPr="006F151C">
        <w:rPr>
          <w:rFonts w:cs="Arial"/>
          <w:szCs w:val="24"/>
          <w:lang w:val="en-GB"/>
        </w:rPr>
        <w:t xml:space="preserve"> </w:t>
      </w:r>
      <w:r w:rsidR="007623BE" w:rsidRPr="006F151C">
        <w:rPr>
          <w:rFonts w:cs="Arial"/>
          <w:szCs w:val="24"/>
          <w:lang w:val="en-GB"/>
        </w:rPr>
        <w:tab/>
      </w:r>
      <w:r w:rsidR="00923C49" w:rsidRPr="006F151C">
        <w:rPr>
          <w:rFonts w:cs="Arial"/>
          <w:szCs w:val="24"/>
          <w:lang w:val="en-GB"/>
        </w:rPr>
        <w:t>Ecosystem and oceanographic modelling for site selection</w:t>
      </w:r>
    </w:p>
    <w:p w14:paraId="330683DE" w14:textId="77777777" w:rsidR="004E4AD3" w:rsidRPr="006F151C" w:rsidRDefault="004E4AD3" w:rsidP="007623BE">
      <w:pPr>
        <w:pStyle w:val="Affil"/>
        <w:rPr>
          <w:rFonts w:cs="Arial"/>
          <w:szCs w:val="24"/>
          <w:lang w:val="en-GB"/>
        </w:rPr>
      </w:pPr>
    </w:p>
    <w:p w14:paraId="1BFDBA5C" w14:textId="27C6881E" w:rsidR="004E4AD3" w:rsidRPr="006F151C" w:rsidRDefault="004E4AD3" w:rsidP="007623BE">
      <w:pPr>
        <w:pStyle w:val="Affil"/>
        <w:rPr>
          <w:rFonts w:cs="Arial"/>
          <w:szCs w:val="24"/>
          <w:lang w:val="en-GB"/>
        </w:rPr>
      </w:pPr>
      <w:r w:rsidRPr="006F151C">
        <w:rPr>
          <w:rStyle w:val="Strong"/>
          <w:lang w:val="en-GB"/>
        </w:rPr>
        <w:t>Deliverable ID:</w:t>
      </w:r>
      <w:r w:rsidRPr="006F151C">
        <w:rPr>
          <w:rFonts w:cs="Arial"/>
          <w:szCs w:val="24"/>
          <w:lang w:val="en-GB"/>
        </w:rPr>
        <w:t xml:space="preserve"> </w:t>
      </w:r>
      <w:r w:rsidR="007623BE" w:rsidRPr="006F151C">
        <w:rPr>
          <w:rFonts w:cs="Arial"/>
          <w:szCs w:val="24"/>
          <w:lang w:val="en-GB"/>
        </w:rPr>
        <w:tab/>
      </w:r>
      <w:r w:rsidR="00F82FF1" w:rsidRPr="006F151C">
        <w:rPr>
          <w:rFonts w:cs="Arial"/>
          <w:szCs w:val="24"/>
          <w:lang w:val="en-GB"/>
        </w:rPr>
        <w:t>D</w:t>
      </w:r>
      <w:r w:rsidR="00923C49" w:rsidRPr="006F151C">
        <w:rPr>
          <w:rFonts w:cs="Arial"/>
          <w:szCs w:val="24"/>
          <w:lang w:val="en-GB"/>
        </w:rPr>
        <w:t>1</w:t>
      </w:r>
      <w:r w:rsidR="00A44256">
        <w:rPr>
          <w:rFonts w:cs="Arial"/>
          <w:szCs w:val="24"/>
          <w:lang w:val="en-GB"/>
        </w:rPr>
        <w:t>2</w:t>
      </w:r>
    </w:p>
    <w:p w14:paraId="6FE325AC" w14:textId="77777777" w:rsidR="004E4AD3" w:rsidRPr="006F151C" w:rsidRDefault="004E4AD3" w:rsidP="007623BE">
      <w:pPr>
        <w:pStyle w:val="Affil"/>
        <w:rPr>
          <w:rFonts w:cs="Arial"/>
          <w:szCs w:val="24"/>
          <w:lang w:val="en-GB"/>
        </w:rPr>
      </w:pPr>
    </w:p>
    <w:p w14:paraId="782937E9" w14:textId="0BA8C147" w:rsidR="004E4AD3" w:rsidRPr="006F151C" w:rsidRDefault="004E4AD3" w:rsidP="00923C49">
      <w:pPr>
        <w:pStyle w:val="Affil"/>
        <w:ind w:left="2550" w:hanging="2550"/>
        <w:rPr>
          <w:lang w:val="en-GB"/>
        </w:rPr>
      </w:pPr>
      <w:bookmarkStart w:id="0" w:name="_Hlk78962442"/>
      <w:r w:rsidRPr="006F151C">
        <w:rPr>
          <w:rStyle w:val="Strong"/>
          <w:lang w:val="en-GB"/>
        </w:rPr>
        <w:t>Deliverable Title</w:t>
      </w:r>
      <w:bookmarkEnd w:id="0"/>
      <w:r w:rsidRPr="006F151C">
        <w:rPr>
          <w:rStyle w:val="Strong"/>
          <w:lang w:val="en-GB"/>
        </w:rPr>
        <w:t>:</w:t>
      </w:r>
      <w:r w:rsidRPr="006F151C">
        <w:rPr>
          <w:lang w:val="en-GB"/>
        </w:rPr>
        <w:t xml:space="preserve"> </w:t>
      </w:r>
      <w:r w:rsidR="007623BE" w:rsidRPr="006F151C">
        <w:rPr>
          <w:lang w:val="en-GB"/>
        </w:rPr>
        <w:tab/>
      </w:r>
      <w:r w:rsidR="00A44256" w:rsidRPr="00A44256">
        <w:rPr>
          <w:lang w:val="en-GB"/>
        </w:rPr>
        <w:t xml:space="preserve">Identification of sites where aquaculture will not affect the activities of other established users (tourists, fishermen, industry) of the coastal zone </w:t>
      </w:r>
      <w:r w:rsidR="00991631" w:rsidRPr="006F151C">
        <w:rPr>
          <w:rFonts w:cs="Arial"/>
          <w:szCs w:val="24"/>
          <w:lang w:val="en-GB"/>
        </w:rPr>
        <w:t>(R</w:t>
      </w:r>
      <w:r w:rsidR="00A44256">
        <w:rPr>
          <w:rFonts w:cs="Arial"/>
          <w:szCs w:val="24"/>
          <w:lang w:val="en-GB"/>
        </w:rPr>
        <w:t>eport, M</w:t>
      </w:r>
      <w:r w:rsidR="00DD20E1" w:rsidRPr="00DD20E1">
        <w:rPr>
          <w:rFonts w:cs="Arial"/>
          <w:szCs w:val="24"/>
          <w:lang w:val="en-GB"/>
        </w:rPr>
        <w:t>36</w:t>
      </w:r>
      <w:r w:rsidR="00923C49" w:rsidRPr="00DD20E1">
        <w:rPr>
          <w:rFonts w:cs="Arial"/>
          <w:szCs w:val="24"/>
          <w:lang w:val="en-GB"/>
        </w:rPr>
        <w:t>)</w:t>
      </w:r>
      <w:r w:rsidR="00B1062D" w:rsidRPr="006F151C">
        <w:rPr>
          <w:rFonts w:cs="Arial"/>
          <w:szCs w:val="24"/>
          <w:lang w:val="en-GB"/>
        </w:rPr>
        <w:t xml:space="preserve"> </w:t>
      </w:r>
    </w:p>
    <w:p w14:paraId="6052CC5F" w14:textId="77777777" w:rsidR="004E4AD3" w:rsidRPr="006F151C" w:rsidRDefault="004E4AD3" w:rsidP="007623BE">
      <w:pPr>
        <w:pStyle w:val="Affil"/>
        <w:rPr>
          <w:rFonts w:cs="Arial"/>
          <w:szCs w:val="24"/>
          <w:lang w:val="en-GB"/>
        </w:rPr>
      </w:pPr>
    </w:p>
    <w:p w14:paraId="6377338C" w14:textId="7FDBBDFA" w:rsidR="004E4AD3" w:rsidRPr="006F151C" w:rsidRDefault="004E4AD3" w:rsidP="007623BE">
      <w:pPr>
        <w:pStyle w:val="Affil"/>
        <w:rPr>
          <w:rFonts w:cs="Arial"/>
          <w:szCs w:val="24"/>
          <w:lang w:val="en-GB"/>
        </w:rPr>
      </w:pPr>
      <w:r w:rsidRPr="006F151C">
        <w:rPr>
          <w:rStyle w:val="Strong"/>
          <w:lang w:val="en-GB"/>
        </w:rPr>
        <w:t>Status:</w:t>
      </w:r>
      <w:r w:rsidRPr="006F151C">
        <w:rPr>
          <w:rFonts w:cs="Arial"/>
          <w:szCs w:val="24"/>
          <w:lang w:val="en-GB"/>
        </w:rPr>
        <w:t xml:space="preserve"> </w:t>
      </w:r>
      <w:r w:rsidR="007623BE" w:rsidRPr="006F151C">
        <w:rPr>
          <w:rFonts w:cs="Arial"/>
          <w:szCs w:val="24"/>
          <w:lang w:val="en-GB"/>
        </w:rPr>
        <w:tab/>
      </w:r>
      <w:r w:rsidR="00330B55">
        <w:rPr>
          <w:rFonts w:cs="Arial"/>
          <w:szCs w:val="24"/>
          <w:lang w:val="en-GB"/>
        </w:rPr>
        <w:t>Final</w:t>
      </w:r>
      <w:r w:rsidR="00330B55" w:rsidRPr="006F151C">
        <w:rPr>
          <w:rFonts w:cs="Arial"/>
          <w:szCs w:val="24"/>
          <w:lang w:val="en-GB"/>
        </w:rPr>
        <w:t xml:space="preserve"> </w:t>
      </w:r>
    </w:p>
    <w:p w14:paraId="6F01764C" w14:textId="77777777" w:rsidR="004E4AD3" w:rsidRPr="006F151C" w:rsidRDefault="004E4AD3" w:rsidP="007623BE">
      <w:pPr>
        <w:pStyle w:val="Affil"/>
        <w:rPr>
          <w:rFonts w:cs="Arial"/>
          <w:szCs w:val="24"/>
          <w:lang w:val="en-GB"/>
        </w:rPr>
      </w:pPr>
    </w:p>
    <w:p w14:paraId="262425CA" w14:textId="77777777" w:rsidR="002C41C0" w:rsidRPr="006F151C" w:rsidRDefault="004E4AD3" w:rsidP="007623BE">
      <w:pPr>
        <w:pStyle w:val="Affil"/>
        <w:rPr>
          <w:rFonts w:cs="Arial"/>
          <w:szCs w:val="24"/>
          <w:lang w:val="en-GB"/>
        </w:rPr>
      </w:pPr>
      <w:r w:rsidRPr="006F151C">
        <w:rPr>
          <w:rStyle w:val="Strong"/>
          <w:lang w:val="en-GB"/>
        </w:rPr>
        <w:t>Dissemination Level:</w:t>
      </w:r>
      <w:r w:rsidRPr="006F151C">
        <w:rPr>
          <w:rFonts w:cs="Arial"/>
          <w:szCs w:val="24"/>
          <w:lang w:val="en-GB"/>
        </w:rPr>
        <w:t xml:space="preserve"> </w:t>
      </w:r>
      <w:r w:rsidR="007623BE" w:rsidRPr="006F151C">
        <w:rPr>
          <w:rFonts w:cs="Arial"/>
          <w:szCs w:val="24"/>
          <w:lang w:val="en-GB"/>
        </w:rPr>
        <w:tab/>
      </w:r>
      <w:r w:rsidRPr="006F151C">
        <w:rPr>
          <w:rFonts w:cs="Arial"/>
          <w:szCs w:val="24"/>
          <w:lang w:val="en-GB"/>
        </w:rPr>
        <w:t xml:space="preserve">Public </w:t>
      </w:r>
    </w:p>
    <w:p w14:paraId="53CA8AAD" w14:textId="77777777" w:rsidR="00C96888" w:rsidRPr="006F151C" w:rsidRDefault="00C96888" w:rsidP="007623BE">
      <w:pPr>
        <w:pStyle w:val="Affil"/>
        <w:rPr>
          <w:lang w:val="en-GB"/>
        </w:rPr>
      </w:pPr>
    </w:p>
    <w:p w14:paraId="1C36F5F4" w14:textId="77777777" w:rsidR="004E4AD3" w:rsidRPr="006F151C" w:rsidRDefault="004E4AD3" w:rsidP="007623BE">
      <w:pPr>
        <w:pStyle w:val="Affil"/>
        <w:rPr>
          <w:rFonts w:cs="Arial"/>
          <w:szCs w:val="24"/>
          <w:lang w:val="en-GB"/>
        </w:rPr>
      </w:pPr>
      <w:r w:rsidRPr="006F151C">
        <w:rPr>
          <w:rStyle w:val="Strong"/>
          <w:lang w:val="en-GB"/>
        </w:rPr>
        <w:t>Partner Leader:</w:t>
      </w:r>
      <w:r w:rsidR="002C41C0" w:rsidRPr="006F151C">
        <w:rPr>
          <w:lang w:val="en-GB"/>
        </w:rPr>
        <w:t xml:space="preserve"> </w:t>
      </w:r>
      <w:r w:rsidR="007623BE" w:rsidRPr="006F151C">
        <w:rPr>
          <w:lang w:val="en-GB"/>
        </w:rPr>
        <w:tab/>
      </w:r>
      <w:r w:rsidR="00923C49" w:rsidRPr="006F151C">
        <w:rPr>
          <w:rFonts w:cs="Arial"/>
          <w:szCs w:val="24"/>
          <w:lang w:val="en-GB"/>
        </w:rPr>
        <w:t>HCMR</w:t>
      </w:r>
      <w:r w:rsidR="00F34444" w:rsidRPr="006F151C">
        <w:rPr>
          <w:rFonts w:cs="Arial"/>
          <w:szCs w:val="24"/>
          <w:lang w:val="en-GB"/>
        </w:rPr>
        <w:t xml:space="preserve"> </w:t>
      </w:r>
    </w:p>
    <w:p w14:paraId="038642B9" w14:textId="77777777" w:rsidR="005665FA" w:rsidRPr="006F151C" w:rsidRDefault="005665FA" w:rsidP="00C96888">
      <w:pPr>
        <w:rPr>
          <w:lang w:val="en-GB"/>
        </w:rPr>
      </w:pPr>
    </w:p>
    <w:p w14:paraId="50BA65B5" w14:textId="77777777" w:rsidR="0033303C" w:rsidRPr="006F151C" w:rsidRDefault="0033303C" w:rsidP="006B4A94">
      <w:pPr>
        <w:pStyle w:val="PreHeading"/>
        <w:rPr>
          <w:lang w:val="en-GB"/>
        </w:rPr>
      </w:pPr>
      <w:r w:rsidRPr="006F151C">
        <w:rPr>
          <w:lang w:val="en-GB"/>
        </w:rPr>
        <w:lastRenderedPageBreak/>
        <w:t>Disclaimer</w:t>
      </w:r>
      <w:r w:rsidR="007E6913" w:rsidRPr="006F151C">
        <w:rPr>
          <w:lang w:val="en-GB"/>
        </w:rPr>
        <w:t xml:space="preserve"> </w:t>
      </w:r>
    </w:p>
    <w:p w14:paraId="19DCBAEE" w14:textId="77777777" w:rsidR="0033303C" w:rsidRPr="006F151C" w:rsidRDefault="0033303C" w:rsidP="007E6913">
      <w:pPr>
        <w:pStyle w:val="Disclaim"/>
      </w:pPr>
      <w:r w:rsidRPr="006F151C">
        <w:t xml:space="preserve">Use of any knowledge, information or data contained in this document shall be at the user's sole risk. Neither the </w:t>
      </w:r>
      <w:r w:rsidR="00FB5CC7" w:rsidRPr="006F151C">
        <w:t>OS Aqua</w:t>
      </w:r>
      <w:r w:rsidRPr="006F151C">
        <w:t xml:space="preserve"> Consortium nor any of its members, their officers, employees or agents accept shall be liable or responsible, in negligence or otherwise, for any loss, damage or expense whatever sustained by any person as a result of the use, in any manner or form, of any knowledge, information or data contained in this document, or due to any inaccuracy, omission or error therein contained.</w:t>
      </w:r>
    </w:p>
    <w:p w14:paraId="43FBFEB3" w14:textId="77777777" w:rsidR="0033303C" w:rsidRPr="006F151C" w:rsidRDefault="0033303C" w:rsidP="007E6913">
      <w:pPr>
        <w:pStyle w:val="Disclaim"/>
      </w:pPr>
      <w:r w:rsidRPr="006F151C">
        <w:t xml:space="preserve">The </w:t>
      </w:r>
      <w:r w:rsidR="00C06FB8" w:rsidRPr="006F151C">
        <w:t>OS Aqua</w:t>
      </w:r>
      <w:r w:rsidRPr="006F151C">
        <w:t xml:space="preserve"> project (INTEGRATED/0918/00</w:t>
      </w:r>
      <w:r w:rsidR="00C06FB8" w:rsidRPr="006F151C">
        <w:t>46</w:t>
      </w:r>
      <w:r w:rsidRPr="006F151C">
        <w:t>) has been partially funded under the RESTART 2016-2020 Programme, Integrated Projects Call, of the Cyprus Research and Innovation Foundation. This publication reflects the views only of the authors, and the Funding Agency cannot be held liable or responsible for any use which may be made of the information contained herein or of any consequences thereof.</w:t>
      </w:r>
    </w:p>
    <w:p w14:paraId="3566E262" w14:textId="77777777" w:rsidR="0033303C" w:rsidRPr="006F151C" w:rsidRDefault="0033303C" w:rsidP="007E6913">
      <w:pPr>
        <w:pStyle w:val="Disclaim"/>
        <w:rPr>
          <w:rStyle w:val="Strong"/>
        </w:rPr>
      </w:pPr>
      <w:r w:rsidRPr="006F151C">
        <w:rPr>
          <w:rStyle w:val="Strong"/>
        </w:rPr>
        <w:t>Copyright notice</w:t>
      </w:r>
    </w:p>
    <w:p w14:paraId="47079CC6" w14:textId="77777777" w:rsidR="0033303C" w:rsidRPr="006F151C" w:rsidRDefault="0033303C" w:rsidP="007E6913">
      <w:pPr>
        <w:pStyle w:val="Disclaim"/>
        <w:rPr>
          <w:rStyle w:val="Strong"/>
        </w:rPr>
      </w:pPr>
      <w:r w:rsidRPr="006F151C">
        <w:rPr>
          <w:rStyle w:val="Strong"/>
        </w:rPr>
        <w:t>© Copyright 2020-202</w:t>
      </w:r>
      <w:r w:rsidR="00C06FB8" w:rsidRPr="006F151C">
        <w:rPr>
          <w:rStyle w:val="Strong"/>
        </w:rPr>
        <w:t>4</w:t>
      </w:r>
      <w:r w:rsidRPr="006F151C">
        <w:rPr>
          <w:rStyle w:val="Strong"/>
        </w:rPr>
        <w:t xml:space="preserve">, The </w:t>
      </w:r>
      <w:r w:rsidR="00C06FB8" w:rsidRPr="006F151C">
        <w:rPr>
          <w:rStyle w:val="Strong"/>
        </w:rPr>
        <w:t>OS Aqua</w:t>
      </w:r>
      <w:r w:rsidRPr="006F151C">
        <w:rPr>
          <w:rStyle w:val="Strong"/>
        </w:rPr>
        <w:t xml:space="preserve"> Consortium</w:t>
      </w:r>
    </w:p>
    <w:p w14:paraId="0A16233C" w14:textId="77777777" w:rsidR="0033303C" w:rsidRPr="006F151C" w:rsidRDefault="0033303C" w:rsidP="007E6913">
      <w:pPr>
        <w:pStyle w:val="Disclaim"/>
      </w:pPr>
      <w:r w:rsidRPr="006F151C">
        <w:rPr>
          <w:rStyle w:val="Strong"/>
        </w:rPr>
        <w:t>This document contains information that is protected by copyright. All Rights Reserved. No part of this work covered by copyright hereon may be reproduced or used in any form or by any means without the permission of the copyright holders.</w:t>
      </w:r>
      <w:r w:rsidR="007E6913" w:rsidRPr="006F151C">
        <w:t xml:space="preserve"> </w:t>
      </w:r>
    </w:p>
    <w:p w14:paraId="0E527D55" w14:textId="4902F0CF" w:rsidR="00DD20E1" w:rsidRDefault="00DD20E1" w:rsidP="00F82FF1">
      <w:pPr>
        <w:rPr>
          <w:lang w:val="en-GB"/>
        </w:rPr>
      </w:pPr>
    </w:p>
    <w:p w14:paraId="4351FC84" w14:textId="77777777" w:rsidR="00DD20E1" w:rsidRPr="00DD20E1" w:rsidRDefault="00DD20E1" w:rsidP="00DD20E1">
      <w:pPr>
        <w:rPr>
          <w:lang w:val="en-GB"/>
        </w:rPr>
      </w:pPr>
    </w:p>
    <w:p w14:paraId="31FDD173" w14:textId="77777777" w:rsidR="00DD20E1" w:rsidRPr="00DD20E1" w:rsidRDefault="00DD20E1" w:rsidP="00DD20E1">
      <w:pPr>
        <w:rPr>
          <w:lang w:val="en-GB"/>
        </w:rPr>
      </w:pPr>
    </w:p>
    <w:p w14:paraId="7B8D3E2F" w14:textId="77777777" w:rsidR="00DD20E1" w:rsidRPr="00DD20E1" w:rsidRDefault="00DD20E1" w:rsidP="00DD20E1">
      <w:pPr>
        <w:rPr>
          <w:lang w:val="en-GB"/>
        </w:rPr>
      </w:pPr>
    </w:p>
    <w:p w14:paraId="74A4AE6F" w14:textId="77777777" w:rsidR="00DD20E1" w:rsidRPr="00DD20E1" w:rsidRDefault="00DD20E1" w:rsidP="00DD20E1">
      <w:pPr>
        <w:rPr>
          <w:lang w:val="en-GB"/>
        </w:rPr>
      </w:pPr>
    </w:p>
    <w:p w14:paraId="5704012B" w14:textId="77777777" w:rsidR="00DD20E1" w:rsidRPr="00DD20E1" w:rsidRDefault="00DD20E1" w:rsidP="00DD20E1">
      <w:pPr>
        <w:rPr>
          <w:lang w:val="en-GB"/>
        </w:rPr>
      </w:pPr>
    </w:p>
    <w:p w14:paraId="5515FDAD" w14:textId="77777777" w:rsidR="00DD20E1" w:rsidRPr="00DD20E1" w:rsidRDefault="00DD20E1" w:rsidP="00DD20E1">
      <w:pPr>
        <w:rPr>
          <w:lang w:val="en-GB"/>
        </w:rPr>
      </w:pPr>
    </w:p>
    <w:p w14:paraId="067A06F1" w14:textId="77777777" w:rsidR="00DD20E1" w:rsidRPr="00DD20E1" w:rsidRDefault="00DD20E1" w:rsidP="00DD20E1">
      <w:pPr>
        <w:rPr>
          <w:lang w:val="en-GB"/>
        </w:rPr>
      </w:pPr>
    </w:p>
    <w:p w14:paraId="60998663" w14:textId="77777777" w:rsidR="00DD20E1" w:rsidRPr="00DD20E1" w:rsidRDefault="00DD20E1" w:rsidP="00DD20E1">
      <w:pPr>
        <w:rPr>
          <w:lang w:val="en-GB"/>
        </w:rPr>
      </w:pPr>
    </w:p>
    <w:p w14:paraId="3C5026A0" w14:textId="77777777" w:rsidR="00DD20E1" w:rsidRPr="00DD20E1" w:rsidRDefault="00DD20E1" w:rsidP="00DD20E1">
      <w:pPr>
        <w:rPr>
          <w:lang w:val="en-GB"/>
        </w:rPr>
      </w:pPr>
    </w:p>
    <w:p w14:paraId="51A0BE3A" w14:textId="77777777" w:rsidR="00DD20E1" w:rsidRPr="00DD20E1" w:rsidRDefault="00DD20E1" w:rsidP="00DD20E1">
      <w:pPr>
        <w:rPr>
          <w:lang w:val="en-GB"/>
        </w:rPr>
      </w:pPr>
    </w:p>
    <w:p w14:paraId="2B4D3D0F" w14:textId="77777777" w:rsidR="00DD20E1" w:rsidRPr="00DD20E1" w:rsidRDefault="00DD20E1" w:rsidP="00DD20E1">
      <w:pPr>
        <w:rPr>
          <w:lang w:val="en-GB"/>
        </w:rPr>
      </w:pPr>
    </w:p>
    <w:p w14:paraId="32041014" w14:textId="77777777" w:rsidR="00DD20E1" w:rsidRPr="00DD20E1" w:rsidRDefault="00DD20E1" w:rsidP="00DD20E1">
      <w:pPr>
        <w:rPr>
          <w:lang w:val="en-GB"/>
        </w:rPr>
      </w:pPr>
    </w:p>
    <w:p w14:paraId="7DE40FAB" w14:textId="77777777" w:rsidR="00DD20E1" w:rsidRPr="00DD20E1" w:rsidRDefault="00DD20E1" w:rsidP="00DD20E1">
      <w:pPr>
        <w:rPr>
          <w:lang w:val="en-GB"/>
        </w:rPr>
      </w:pPr>
    </w:p>
    <w:p w14:paraId="1BB3AC86" w14:textId="77777777" w:rsidR="00DD20E1" w:rsidRPr="00DD20E1" w:rsidRDefault="00DD20E1" w:rsidP="00DD20E1">
      <w:pPr>
        <w:rPr>
          <w:lang w:val="en-GB"/>
        </w:rPr>
      </w:pPr>
    </w:p>
    <w:p w14:paraId="10DD1D94" w14:textId="313A113A" w:rsidR="004D0DF2" w:rsidRPr="00DD20E1" w:rsidRDefault="004D0DF2" w:rsidP="00DD20E1">
      <w:pPr>
        <w:ind w:firstLine="720"/>
        <w:rPr>
          <w:lang w:val="en-GB"/>
        </w:rPr>
      </w:pPr>
    </w:p>
    <w:p w14:paraId="0D9ED2C4" w14:textId="77777777" w:rsidR="00470ECC" w:rsidRPr="006F151C" w:rsidRDefault="00470ECC" w:rsidP="00470ECC">
      <w:pPr>
        <w:pStyle w:val="PreHeading"/>
        <w:rPr>
          <w:lang w:val="en-GB"/>
        </w:rPr>
      </w:pPr>
      <w:r w:rsidRPr="006F151C">
        <w:rPr>
          <w:lang w:val="en-GB"/>
        </w:rPr>
        <w:lastRenderedPageBreak/>
        <w:t>Executive Summary</w:t>
      </w:r>
      <w:r w:rsidR="006B4A94" w:rsidRPr="006F151C">
        <w:rPr>
          <w:lang w:val="en-GB"/>
        </w:rPr>
        <w:t xml:space="preserve"> </w:t>
      </w:r>
    </w:p>
    <w:p w14:paraId="0DB0B950" w14:textId="226CA48E" w:rsidR="00A2086C" w:rsidRPr="00A2086C" w:rsidRDefault="00A2086C" w:rsidP="00A2086C">
      <w:pPr>
        <w:rPr>
          <w:rFonts w:cs="Arial"/>
          <w:szCs w:val="24"/>
        </w:rPr>
      </w:pPr>
      <w:r w:rsidRPr="00A2086C">
        <w:rPr>
          <w:rFonts w:cs="Arial"/>
          <w:szCs w:val="24"/>
          <w:highlight w:val="white"/>
        </w:rPr>
        <w:t>D12 reflects progress of T3.</w:t>
      </w:r>
      <w:r>
        <w:rPr>
          <w:rFonts w:cs="Arial"/>
          <w:szCs w:val="24"/>
        </w:rPr>
        <w:t>4</w:t>
      </w:r>
      <w:r w:rsidRPr="00A2086C">
        <w:rPr>
          <w:rFonts w:cs="Arial"/>
          <w:szCs w:val="24"/>
        </w:rPr>
        <w:t xml:space="preserve"> using data from D10, D11, D</w:t>
      </w:r>
      <w:r w:rsidR="002A24D4">
        <w:rPr>
          <w:rFonts w:cs="Arial"/>
          <w:szCs w:val="24"/>
        </w:rPr>
        <w:t>13</w:t>
      </w:r>
      <w:r w:rsidRPr="00A2086C">
        <w:rPr>
          <w:rFonts w:cs="Arial"/>
          <w:szCs w:val="24"/>
        </w:rPr>
        <w:t xml:space="preserve">.  Four (4) open sea areas (OSA’s) have been selected as potential OS AZAs for the modelling work at Xylofagou, Larnaca, Governor’s Beach South of Cyprus and Aphrodite Hills in southwest Cyprus. </w:t>
      </w:r>
    </w:p>
    <w:p w14:paraId="4FC1F379" w14:textId="265CECD5" w:rsidR="00A2086C" w:rsidRPr="00A2086C" w:rsidRDefault="00A2086C" w:rsidP="00A2086C">
      <w:pPr>
        <w:rPr>
          <w:rFonts w:cs="Arial"/>
          <w:szCs w:val="24"/>
        </w:rPr>
      </w:pPr>
      <w:r w:rsidRPr="00A2086C">
        <w:rPr>
          <w:rFonts w:cs="Arial"/>
          <w:szCs w:val="24"/>
          <w:lang w:val="en-GB"/>
        </w:rPr>
        <w:t xml:space="preserve">The </w:t>
      </w:r>
      <w:r w:rsidR="00E94048" w:rsidRPr="009169A7">
        <w:rPr>
          <w:rFonts w:cs="Arial"/>
        </w:rPr>
        <w:t>Hellenic Centre for Marine Research</w:t>
      </w:r>
      <w:r w:rsidR="00E94048" w:rsidRPr="00A2086C">
        <w:rPr>
          <w:rFonts w:cs="Arial"/>
          <w:szCs w:val="24"/>
          <w:lang w:val="en-GB"/>
        </w:rPr>
        <w:t xml:space="preserve"> </w:t>
      </w:r>
      <w:r w:rsidR="00E94048">
        <w:rPr>
          <w:rFonts w:cs="Arial"/>
          <w:szCs w:val="24"/>
          <w:lang w:val="en-GB"/>
        </w:rPr>
        <w:t>(</w:t>
      </w:r>
      <w:r w:rsidRPr="00A2086C">
        <w:rPr>
          <w:rFonts w:cs="Arial"/>
          <w:szCs w:val="24"/>
          <w:lang w:val="en-GB"/>
        </w:rPr>
        <w:t>HCMR</w:t>
      </w:r>
      <w:r w:rsidR="00E94048">
        <w:rPr>
          <w:rFonts w:cs="Arial"/>
          <w:szCs w:val="24"/>
          <w:lang w:val="en-GB"/>
        </w:rPr>
        <w:t>)</w:t>
      </w:r>
      <w:r w:rsidRPr="00A2086C">
        <w:rPr>
          <w:rFonts w:cs="Arial"/>
          <w:szCs w:val="24"/>
          <w:lang w:val="en-GB"/>
        </w:rPr>
        <w:t xml:space="preserve"> AIM model was applied with three nested intermediate resolution (~400m) and two additional finer resolution (~100m) sub-models to estimate the </w:t>
      </w:r>
      <w:r w:rsidRPr="00A2086C">
        <w:rPr>
          <w:rFonts w:cs="Arial"/>
          <w:szCs w:val="24"/>
        </w:rPr>
        <w:t>impact of aquaculture wastes on the Cypriot marine ecosystem in terms of good environmental status, using the model simulated outputs, by means of a Eutrophication Index (with PO</w:t>
      </w:r>
      <w:r w:rsidRPr="00A2086C">
        <w:rPr>
          <w:rFonts w:cs="Arial"/>
          <w:szCs w:val="24"/>
          <w:vertAlign w:val="subscript"/>
        </w:rPr>
        <w:t>4</w:t>
      </w:r>
      <w:r w:rsidRPr="00A2086C">
        <w:rPr>
          <w:rFonts w:cs="Arial"/>
          <w:szCs w:val="24"/>
        </w:rPr>
        <w:t>, NO</w:t>
      </w:r>
      <w:r w:rsidRPr="00A2086C">
        <w:rPr>
          <w:rFonts w:cs="Arial"/>
          <w:szCs w:val="24"/>
          <w:vertAlign w:val="subscript"/>
        </w:rPr>
        <w:t>3</w:t>
      </w:r>
      <w:r w:rsidRPr="00A2086C">
        <w:rPr>
          <w:rFonts w:cs="Arial"/>
          <w:szCs w:val="24"/>
        </w:rPr>
        <w:t>, NO</w:t>
      </w:r>
      <w:r w:rsidRPr="00A2086C">
        <w:rPr>
          <w:rFonts w:cs="Arial"/>
          <w:szCs w:val="24"/>
          <w:vertAlign w:val="subscript"/>
        </w:rPr>
        <w:t>2</w:t>
      </w:r>
      <w:r w:rsidRPr="00A2086C">
        <w:rPr>
          <w:rFonts w:cs="Arial"/>
          <w:szCs w:val="24"/>
        </w:rPr>
        <w:t>, NH</w:t>
      </w:r>
      <w:r w:rsidRPr="00A2086C">
        <w:rPr>
          <w:rFonts w:cs="Arial"/>
          <w:szCs w:val="24"/>
          <w:vertAlign w:val="subscript"/>
        </w:rPr>
        <w:t>4</w:t>
      </w:r>
      <w:r w:rsidRPr="00A2086C">
        <w:rPr>
          <w:rFonts w:cs="Arial"/>
          <w:szCs w:val="24"/>
        </w:rPr>
        <w:t xml:space="preserve"> in mmol/m</w:t>
      </w:r>
      <w:r w:rsidRPr="00A2086C">
        <w:rPr>
          <w:rFonts w:cs="Arial"/>
          <w:szCs w:val="24"/>
          <w:vertAlign w:val="superscript"/>
        </w:rPr>
        <w:t>3</w:t>
      </w:r>
      <w:r w:rsidRPr="00A2086C">
        <w:rPr>
          <w:rFonts w:cs="Arial"/>
          <w:szCs w:val="24"/>
        </w:rPr>
        <w:t xml:space="preserve"> and </w:t>
      </w:r>
      <w:proofErr w:type="spellStart"/>
      <w:r w:rsidRPr="00A2086C">
        <w:rPr>
          <w:rFonts w:cs="Arial"/>
          <w:szCs w:val="24"/>
        </w:rPr>
        <w:t>Chl</w:t>
      </w:r>
      <w:proofErr w:type="spellEnd"/>
      <w:r w:rsidRPr="00A2086C">
        <w:rPr>
          <w:rFonts w:cs="Arial"/>
          <w:szCs w:val="24"/>
        </w:rPr>
        <w:t>-a in mg/m</w:t>
      </w:r>
      <w:r w:rsidRPr="00A2086C">
        <w:rPr>
          <w:rFonts w:cs="Arial"/>
          <w:szCs w:val="24"/>
          <w:vertAlign w:val="superscript"/>
        </w:rPr>
        <w:t>3</w:t>
      </w:r>
      <w:r w:rsidRPr="00A2086C">
        <w:rPr>
          <w:rFonts w:cs="Arial"/>
          <w:szCs w:val="24"/>
        </w:rPr>
        <w:t>) and the environmental scaling of &lt;0.04 for very good, 0.04 - 0.38 as good, 0.38 - 0.85 for moderate, 0.85 - 1.51 for poor and &gt; 1.51 for bad. Please see D10 (Development of an environmental assessment model for ecosystem and oceanographic modelling for site selection) and D11 (</w:t>
      </w:r>
      <w:bookmarkStart w:id="1" w:name="_Hlk118730087"/>
      <w:r w:rsidRPr="00A2086C">
        <w:rPr>
          <w:rFonts w:cs="Arial"/>
          <w:szCs w:val="24"/>
          <w:lang w:val="en-GB"/>
        </w:rPr>
        <w:t xml:space="preserve">Identification of sites with less sensitive/important/rare habitats where the impact of the aquaculture </w:t>
      </w:r>
      <w:r w:rsidR="00330B55">
        <w:rPr>
          <w:rFonts w:cs="Arial"/>
          <w:szCs w:val="24"/>
          <w:lang w:val="en-GB"/>
        </w:rPr>
        <w:t>on</w:t>
      </w:r>
      <w:r w:rsidR="00330B55" w:rsidRPr="00A2086C">
        <w:rPr>
          <w:rFonts w:cs="Arial"/>
          <w:szCs w:val="24"/>
          <w:lang w:val="en-GB"/>
        </w:rPr>
        <w:t xml:space="preserve"> </w:t>
      </w:r>
      <w:r w:rsidRPr="00A2086C">
        <w:rPr>
          <w:rFonts w:cs="Arial"/>
          <w:szCs w:val="24"/>
          <w:lang w:val="en-GB"/>
        </w:rPr>
        <w:t>the environment can be minimized</w:t>
      </w:r>
      <w:bookmarkEnd w:id="1"/>
      <w:r w:rsidRPr="00A2086C">
        <w:rPr>
          <w:rFonts w:cs="Arial"/>
          <w:szCs w:val="24"/>
          <w:lang w:val="en-GB"/>
        </w:rPr>
        <w:t xml:space="preserve">) </w:t>
      </w:r>
      <w:r w:rsidRPr="00A2086C">
        <w:rPr>
          <w:rFonts w:cs="Arial"/>
          <w:szCs w:val="24"/>
        </w:rPr>
        <w:t>for details.</w:t>
      </w:r>
    </w:p>
    <w:p w14:paraId="5612A7DE" w14:textId="674EC1BE" w:rsidR="008A6A86" w:rsidRPr="00A2086C" w:rsidRDefault="00A2086C" w:rsidP="00A2086C">
      <w:pPr>
        <w:rPr>
          <w:rFonts w:cs="Arial"/>
          <w:szCs w:val="24"/>
        </w:rPr>
      </w:pPr>
      <w:r w:rsidRPr="00A2086C">
        <w:rPr>
          <w:rFonts w:cs="Arial"/>
          <w:szCs w:val="24"/>
        </w:rPr>
        <w:t xml:space="preserve">Fine model scenario simulations indicated that the open sea aquaculture at Governor’s </w:t>
      </w:r>
      <w:proofErr w:type="spellStart"/>
      <w:r w:rsidR="00330B55">
        <w:rPr>
          <w:rFonts w:cs="Arial"/>
          <w:szCs w:val="24"/>
        </w:rPr>
        <w:t>BB</w:t>
      </w:r>
      <w:r w:rsidR="00330B55" w:rsidRPr="00A2086C">
        <w:rPr>
          <w:rFonts w:cs="Arial"/>
          <w:szCs w:val="24"/>
        </w:rPr>
        <w:t>each</w:t>
      </w:r>
      <w:proofErr w:type="spellEnd"/>
      <w:r w:rsidR="00330B55" w:rsidRPr="00A2086C">
        <w:rPr>
          <w:rFonts w:cs="Arial"/>
          <w:szCs w:val="24"/>
        </w:rPr>
        <w:t xml:space="preserve"> </w:t>
      </w:r>
      <w:r w:rsidRPr="00A2086C">
        <w:rPr>
          <w:rFonts w:cs="Arial"/>
          <w:szCs w:val="24"/>
        </w:rPr>
        <w:t xml:space="preserve">has a lower environmental impact, as compared to Xylofagou and particularly Larnaca sites that show a moderate impact during </w:t>
      </w:r>
      <w:r w:rsidR="00330B55">
        <w:rPr>
          <w:rFonts w:cs="Arial"/>
          <w:szCs w:val="24"/>
        </w:rPr>
        <w:t xml:space="preserve">the </w:t>
      </w:r>
      <w:r w:rsidRPr="00A2086C">
        <w:rPr>
          <w:rFonts w:cs="Arial"/>
          <w:szCs w:val="24"/>
        </w:rPr>
        <w:t xml:space="preserve">spring period (not during the summer). Intermediate resolution model simulations over 2016-2018 period indicated an important inter-annual variability of the eutrophication index (E.I.), being higher in the more exposed to </w:t>
      </w:r>
      <w:r w:rsidR="00E94048">
        <w:rPr>
          <w:rFonts w:cs="Arial"/>
          <w:szCs w:val="24"/>
        </w:rPr>
        <w:t>O</w:t>
      </w:r>
      <w:r w:rsidRPr="00A2086C">
        <w:rPr>
          <w:rFonts w:cs="Arial"/>
          <w:szCs w:val="24"/>
        </w:rPr>
        <w:t xml:space="preserve">pen </w:t>
      </w:r>
      <w:r w:rsidR="00E94048" w:rsidRPr="00A2086C">
        <w:rPr>
          <w:rFonts w:cs="Arial"/>
          <w:szCs w:val="24"/>
        </w:rPr>
        <w:t xml:space="preserve">Sea </w:t>
      </w:r>
      <w:r w:rsidR="00E94048">
        <w:rPr>
          <w:rFonts w:cs="Arial"/>
          <w:szCs w:val="24"/>
        </w:rPr>
        <w:t>o</w:t>
      </w:r>
      <w:r w:rsidR="00E94048" w:rsidRPr="00A2086C">
        <w:rPr>
          <w:rFonts w:cs="Arial"/>
          <w:szCs w:val="24"/>
        </w:rPr>
        <w:t>cean</w:t>
      </w:r>
      <w:r w:rsidRPr="00A2086C">
        <w:rPr>
          <w:rFonts w:cs="Arial"/>
          <w:szCs w:val="24"/>
        </w:rPr>
        <w:t xml:space="preserve"> conditions Aphrodite’s hills area. The E.I. mean (2016-2018) value </w:t>
      </w:r>
      <w:r w:rsidR="00330B55">
        <w:rPr>
          <w:rFonts w:cs="Arial"/>
          <w:szCs w:val="24"/>
        </w:rPr>
        <w:t>near</w:t>
      </w:r>
      <w:r w:rsidRPr="00A2086C">
        <w:rPr>
          <w:rFonts w:cs="Arial"/>
          <w:szCs w:val="24"/>
        </w:rPr>
        <w:t xml:space="preserve"> open sea farms appears slightly higher in </w:t>
      </w:r>
      <w:proofErr w:type="spellStart"/>
      <w:r w:rsidRPr="00A2086C">
        <w:rPr>
          <w:rFonts w:cs="Arial"/>
          <w:szCs w:val="24"/>
        </w:rPr>
        <w:t>Xylofagou</w:t>
      </w:r>
      <w:proofErr w:type="spellEnd"/>
      <w:r w:rsidRPr="00A2086C">
        <w:rPr>
          <w:rFonts w:cs="Arial"/>
          <w:szCs w:val="24"/>
        </w:rPr>
        <w:t xml:space="preserve">, followed by </w:t>
      </w:r>
      <w:proofErr w:type="spellStart"/>
      <w:r w:rsidRPr="00A2086C">
        <w:rPr>
          <w:rFonts w:cs="Arial"/>
          <w:szCs w:val="24"/>
        </w:rPr>
        <w:t>Larnaka</w:t>
      </w:r>
      <w:proofErr w:type="spellEnd"/>
      <w:r w:rsidRPr="00A2086C">
        <w:rPr>
          <w:rFonts w:cs="Arial"/>
          <w:szCs w:val="24"/>
        </w:rPr>
        <w:t xml:space="preserve">, Governor’s </w:t>
      </w:r>
      <w:r w:rsidR="00330B55">
        <w:rPr>
          <w:rFonts w:cs="Arial"/>
          <w:szCs w:val="24"/>
        </w:rPr>
        <w:t>B</w:t>
      </w:r>
      <w:r w:rsidR="00330B55" w:rsidRPr="00A2086C">
        <w:rPr>
          <w:rFonts w:cs="Arial"/>
          <w:szCs w:val="24"/>
        </w:rPr>
        <w:t xml:space="preserve">each </w:t>
      </w:r>
      <w:r w:rsidRPr="00A2086C">
        <w:rPr>
          <w:rFonts w:cs="Arial"/>
          <w:szCs w:val="24"/>
        </w:rPr>
        <w:t xml:space="preserve">and </w:t>
      </w:r>
      <w:proofErr w:type="spellStart"/>
      <w:r w:rsidRPr="00A2086C">
        <w:rPr>
          <w:rFonts w:cs="Arial"/>
          <w:szCs w:val="24"/>
        </w:rPr>
        <w:t>Aphrodites</w:t>
      </w:r>
      <w:proofErr w:type="spellEnd"/>
      <w:r w:rsidRPr="00A2086C">
        <w:rPr>
          <w:rFonts w:cs="Arial"/>
          <w:szCs w:val="24"/>
        </w:rPr>
        <w:t xml:space="preserve"> </w:t>
      </w:r>
      <w:r w:rsidR="00330B55">
        <w:rPr>
          <w:rFonts w:cs="Arial"/>
          <w:szCs w:val="24"/>
        </w:rPr>
        <w:t>H</w:t>
      </w:r>
      <w:r w:rsidR="00330B55" w:rsidRPr="00A2086C">
        <w:rPr>
          <w:rFonts w:cs="Arial"/>
          <w:szCs w:val="24"/>
        </w:rPr>
        <w:t xml:space="preserve">ills </w:t>
      </w:r>
      <w:r w:rsidRPr="00A2086C">
        <w:rPr>
          <w:rFonts w:cs="Arial"/>
          <w:szCs w:val="24"/>
        </w:rPr>
        <w:t>open sea aquaculture sites.</w:t>
      </w:r>
    </w:p>
    <w:sdt>
      <w:sdtPr>
        <w:rPr>
          <w:rFonts w:eastAsiaTheme="minorHAnsi" w:cstheme="minorBidi"/>
          <w:color w:val="auto"/>
          <w:sz w:val="24"/>
          <w:szCs w:val="22"/>
          <w:lang w:val="en-GB"/>
        </w:rPr>
        <w:id w:val="-423487093"/>
        <w:docPartObj>
          <w:docPartGallery w:val="Table of Contents"/>
          <w:docPartUnique/>
        </w:docPartObj>
      </w:sdtPr>
      <w:sdtContent>
        <w:p w14:paraId="420D5685" w14:textId="77777777" w:rsidR="00EF6919" w:rsidRPr="006F151C" w:rsidRDefault="00EF6919">
          <w:pPr>
            <w:pStyle w:val="TOCHeading"/>
            <w:rPr>
              <w:lang w:val="en-GB"/>
            </w:rPr>
          </w:pPr>
          <w:r w:rsidRPr="006F151C">
            <w:rPr>
              <w:lang w:val="en-GB"/>
            </w:rPr>
            <w:t>Contents</w:t>
          </w:r>
        </w:p>
        <w:p w14:paraId="30315E8A" w14:textId="4C02CC19" w:rsidR="00D50E37" w:rsidRDefault="00EF6919">
          <w:pPr>
            <w:pStyle w:val="TOC1"/>
            <w:tabs>
              <w:tab w:val="left" w:pos="446"/>
              <w:tab w:val="right" w:leader="dot" w:pos="9061"/>
            </w:tabs>
            <w:rPr>
              <w:rFonts w:asciiTheme="minorHAnsi" w:hAnsiTheme="minorHAnsi" w:cstheme="minorBidi"/>
              <w:noProof/>
              <w:kern w:val="2"/>
              <w:sz w:val="22"/>
              <w14:ligatures w14:val="standardContextual"/>
            </w:rPr>
          </w:pPr>
          <w:r w:rsidRPr="006F151C">
            <w:rPr>
              <w:lang w:val="en-GB"/>
            </w:rPr>
            <w:fldChar w:fldCharType="begin"/>
          </w:r>
          <w:r w:rsidRPr="006F151C">
            <w:rPr>
              <w:lang w:val="en-GB"/>
            </w:rPr>
            <w:instrText xml:space="preserve"> TOC \o "1-3" \h \z \u </w:instrText>
          </w:r>
          <w:r w:rsidRPr="006F151C">
            <w:rPr>
              <w:lang w:val="en-GB"/>
            </w:rPr>
            <w:fldChar w:fldCharType="separate"/>
          </w:r>
          <w:hyperlink w:anchor="_Toc145304812" w:history="1">
            <w:r w:rsidR="00D50E37" w:rsidRPr="0028655D">
              <w:rPr>
                <w:rStyle w:val="Hyperlink"/>
                <w:noProof/>
                <w:lang w:val="en-GB"/>
              </w:rPr>
              <w:t>1</w:t>
            </w:r>
            <w:r w:rsidR="00D50E37">
              <w:rPr>
                <w:rFonts w:asciiTheme="minorHAnsi" w:hAnsiTheme="minorHAnsi" w:cstheme="minorBidi"/>
                <w:noProof/>
                <w:kern w:val="2"/>
                <w:sz w:val="22"/>
                <w14:ligatures w14:val="standardContextual"/>
              </w:rPr>
              <w:tab/>
            </w:r>
            <w:r w:rsidR="00D50E37" w:rsidRPr="0028655D">
              <w:rPr>
                <w:rStyle w:val="Hyperlink"/>
                <w:noProof/>
                <w:lang w:val="en-GB"/>
              </w:rPr>
              <w:t>Introduction</w:t>
            </w:r>
            <w:r w:rsidR="00D50E37">
              <w:rPr>
                <w:noProof/>
                <w:webHidden/>
              </w:rPr>
              <w:tab/>
            </w:r>
            <w:r w:rsidR="00D50E37">
              <w:rPr>
                <w:noProof/>
                <w:webHidden/>
              </w:rPr>
              <w:fldChar w:fldCharType="begin"/>
            </w:r>
            <w:r w:rsidR="00D50E37">
              <w:rPr>
                <w:noProof/>
                <w:webHidden/>
              </w:rPr>
              <w:instrText xml:space="preserve"> PAGEREF _Toc145304812 \h </w:instrText>
            </w:r>
            <w:r w:rsidR="00D50E37">
              <w:rPr>
                <w:noProof/>
                <w:webHidden/>
              </w:rPr>
            </w:r>
            <w:r w:rsidR="00D50E37">
              <w:rPr>
                <w:noProof/>
                <w:webHidden/>
              </w:rPr>
              <w:fldChar w:fldCharType="separate"/>
            </w:r>
            <w:r w:rsidR="00D50E37">
              <w:rPr>
                <w:noProof/>
                <w:webHidden/>
              </w:rPr>
              <w:t>9</w:t>
            </w:r>
            <w:r w:rsidR="00D50E37">
              <w:rPr>
                <w:noProof/>
                <w:webHidden/>
              </w:rPr>
              <w:fldChar w:fldCharType="end"/>
            </w:r>
          </w:hyperlink>
        </w:p>
        <w:p w14:paraId="71049910" w14:textId="699B13C9" w:rsidR="00D50E37" w:rsidRDefault="00D50E37">
          <w:pPr>
            <w:pStyle w:val="TOC1"/>
            <w:tabs>
              <w:tab w:val="left" w:pos="446"/>
              <w:tab w:val="right" w:leader="dot" w:pos="9061"/>
            </w:tabs>
            <w:rPr>
              <w:rFonts w:asciiTheme="minorHAnsi" w:hAnsiTheme="minorHAnsi" w:cstheme="minorBidi"/>
              <w:noProof/>
              <w:kern w:val="2"/>
              <w:sz w:val="22"/>
              <w14:ligatures w14:val="standardContextual"/>
            </w:rPr>
          </w:pPr>
          <w:hyperlink w:anchor="_Toc145304813" w:history="1">
            <w:r w:rsidRPr="0028655D">
              <w:rPr>
                <w:rStyle w:val="Hyperlink"/>
                <w:noProof/>
                <w:lang w:val="en-GB"/>
              </w:rPr>
              <w:t>2.</w:t>
            </w:r>
            <w:r>
              <w:rPr>
                <w:rFonts w:asciiTheme="minorHAnsi" w:hAnsiTheme="minorHAnsi" w:cstheme="minorBidi"/>
                <w:noProof/>
                <w:kern w:val="2"/>
                <w:sz w:val="22"/>
                <w14:ligatures w14:val="standardContextual"/>
              </w:rPr>
              <w:tab/>
            </w:r>
            <w:r w:rsidRPr="0028655D">
              <w:rPr>
                <w:rStyle w:val="Hyperlink"/>
                <w:noProof/>
                <w:lang w:val="en-GB"/>
              </w:rPr>
              <w:t>Model Setup</w:t>
            </w:r>
            <w:r>
              <w:rPr>
                <w:noProof/>
                <w:webHidden/>
              </w:rPr>
              <w:tab/>
            </w:r>
            <w:r>
              <w:rPr>
                <w:noProof/>
                <w:webHidden/>
              </w:rPr>
              <w:fldChar w:fldCharType="begin"/>
            </w:r>
            <w:r>
              <w:rPr>
                <w:noProof/>
                <w:webHidden/>
              </w:rPr>
              <w:instrText xml:space="preserve"> PAGEREF _Toc145304813 \h </w:instrText>
            </w:r>
            <w:r>
              <w:rPr>
                <w:noProof/>
                <w:webHidden/>
              </w:rPr>
            </w:r>
            <w:r>
              <w:rPr>
                <w:noProof/>
                <w:webHidden/>
              </w:rPr>
              <w:fldChar w:fldCharType="separate"/>
            </w:r>
            <w:r>
              <w:rPr>
                <w:noProof/>
                <w:webHidden/>
              </w:rPr>
              <w:t>12</w:t>
            </w:r>
            <w:r>
              <w:rPr>
                <w:noProof/>
                <w:webHidden/>
              </w:rPr>
              <w:fldChar w:fldCharType="end"/>
            </w:r>
          </w:hyperlink>
        </w:p>
        <w:p w14:paraId="5870FF36" w14:textId="37890BC7" w:rsidR="00D50E37" w:rsidRDefault="00D50E37">
          <w:pPr>
            <w:pStyle w:val="TOC2"/>
            <w:tabs>
              <w:tab w:val="left" w:pos="880"/>
              <w:tab w:val="right" w:leader="dot" w:pos="9061"/>
            </w:tabs>
            <w:rPr>
              <w:rFonts w:asciiTheme="minorHAnsi" w:hAnsiTheme="minorHAnsi" w:cstheme="minorBidi"/>
              <w:noProof/>
              <w:kern w:val="2"/>
              <w:sz w:val="22"/>
              <w14:ligatures w14:val="standardContextual"/>
            </w:rPr>
          </w:pPr>
          <w:hyperlink w:anchor="_Toc145304814" w:history="1">
            <w:r w:rsidRPr="0028655D">
              <w:rPr>
                <w:rStyle w:val="Hyperlink"/>
                <w:noProof/>
                <w:lang w:val="en-GB"/>
              </w:rPr>
              <w:t>2.1.</w:t>
            </w:r>
            <w:r>
              <w:rPr>
                <w:rFonts w:asciiTheme="minorHAnsi" w:hAnsiTheme="minorHAnsi" w:cstheme="minorBidi"/>
                <w:noProof/>
                <w:kern w:val="2"/>
                <w:sz w:val="22"/>
                <w14:ligatures w14:val="standardContextual"/>
              </w:rPr>
              <w:tab/>
            </w:r>
            <w:r w:rsidRPr="0028655D">
              <w:rPr>
                <w:rStyle w:val="Hyperlink"/>
                <w:noProof/>
                <w:lang w:val="en-GB"/>
              </w:rPr>
              <w:t>The AIM Model and its sub-models in Cyprus</w:t>
            </w:r>
            <w:r>
              <w:rPr>
                <w:noProof/>
                <w:webHidden/>
              </w:rPr>
              <w:tab/>
            </w:r>
            <w:r>
              <w:rPr>
                <w:noProof/>
                <w:webHidden/>
              </w:rPr>
              <w:fldChar w:fldCharType="begin"/>
            </w:r>
            <w:r>
              <w:rPr>
                <w:noProof/>
                <w:webHidden/>
              </w:rPr>
              <w:instrText xml:space="preserve"> PAGEREF _Toc145304814 \h </w:instrText>
            </w:r>
            <w:r>
              <w:rPr>
                <w:noProof/>
                <w:webHidden/>
              </w:rPr>
            </w:r>
            <w:r>
              <w:rPr>
                <w:noProof/>
                <w:webHidden/>
              </w:rPr>
              <w:fldChar w:fldCharType="separate"/>
            </w:r>
            <w:r>
              <w:rPr>
                <w:noProof/>
                <w:webHidden/>
              </w:rPr>
              <w:t>12</w:t>
            </w:r>
            <w:r>
              <w:rPr>
                <w:noProof/>
                <w:webHidden/>
              </w:rPr>
              <w:fldChar w:fldCharType="end"/>
            </w:r>
          </w:hyperlink>
        </w:p>
        <w:p w14:paraId="01FB92F6" w14:textId="6AD6E40E" w:rsidR="00D50E37" w:rsidRDefault="00D50E37">
          <w:pPr>
            <w:pStyle w:val="TOC3"/>
            <w:tabs>
              <w:tab w:val="left" w:pos="1320"/>
              <w:tab w:val="right" w:leader="dot" w:pos="9061"/>
            </w:tabs>
            <w:rPr>
              <w:rFonts w:asciiTheme="minorHAnsi" w:hAnsiTheme="minorHAnsi" w:cstheme="minorBidi"/>
              <w:noProof/>
              <w:kern w:val="2"/>
              <w:sz w:val="22"/>
              <w14:ligatures w14:val="standardContextual"/>
            </w:rPr>
          </w:pPr>
          <w:hyperlink w:anchor="_Toc145304815" w:history="1">
            <w:r w:rsidRPr="0028655D">
              <w:rPr>
                <w:rStyle w:val="Hyperlink"/>
                <w:noProof/>
                <w:highlight w:val="white"/>
                <w:lang w:val="en-GB"/>
              </w:rPr>
              <w:t>2.1.1.</w:t>
            </w:r>
            <w:r>
              <w:rPr>
                <w:rFonts w:asciiTheme="minorHAnsi" w:hAnsiTheme="minorHAnsi" w:cstheme="minorBidi"/>
                <w:noProof/>
                <w:kern w:val="2"/>
                <w:sz w:val="22"/>
                <w14:ligatures w14:val="standardContextual"/>
              </w:rPr>
              <w:tab/>
            </w:r>
            <w:r w:rsidRPr="0028655D">
              <w:rPr>
                <w:rStyle w:val="Hyperlink"/>
                <w:noProof/>
                <w:highlight w:val="white"/>
                <w:lang w:val="en-GB"/>
              </w:rPr>
              <w:t>Uncertainty / Inter-annual variability</w:t>
            </w:r>
            <w:r>
              <w:rPr>
                <w:noProof/>
                <w:webHidden/>
              </w:rPr>
              <w:tab/>
            </w:r>
            <w:r>
              <w:rPr>
                <w:noProof/>
                <w:webHidden/>
              </w:rPr>
              <w:fldChar w:fldCharType="begin"/>
            </w:r>
            <w:r>
              <w:rPr>
                <w:noProof/>
                <w:webHidden/>
              </w:rPr>
              <w:instrText xml:space="preserve"> PAGEREF _Toc145304815 \h </w:instrText>
            </w:r>
            <w:r>
              <w:rPr>
                <w:noProof/>
                <w:webHidden/>
              </w:rPr>
            </w:r>
            <w:r>
              <w:rPr>
                <w:noProof/>
                <w:webHidden/>
              </w:rPr>
              <w:fldChar w:fldCharType="separate"/>
            </w:r>
            <w:r>
              <w:rPr>
                <w:noProof/>
                <w:webHidden/>
              </w:rPr>
              <w:t>16</w:t>
            </w:r>
            <w:r>
              <w:rPr>
                <w:noProof/>
                <w:webHidden/>
              </w:rPr>
              <w:fldChar w:fldCharType="end"/>
            </w:r>
          </w:hyperlink>
        </w:p>
        <w:p w14:paraId="2B41A0C4" w14:textId="04A9166E" w:rsidR="00D50E37" w:rsidRDefault="00D50E37">
          <w:pPr>
            <w:pStyle w:val="TOC3"/>
            <w:tabs>
              <w:tab w:val="left" w:pos="1320"/>
              <w:tab w:val="right" w:leader="dot" w:pos="9061"/>
            </w:tabs>
            <w:rPr>
              <w:rFonts w:asciiTheme="minorHAnsi" w:hAnsiTheme="minorHAnsi" w:cstheme="minorBidi"/>
              <w:noProof/>
              <w:kern w:val="2"/>
              <w:sz w:val="22"/>
              <w14:ligatures w14:val="standardContextual"/>
            </w:rPr>
          </w:pPr>
          <w:hyperlink w:anchor="_Toc145304816" w:history="1">
            <w:r w:rsidRPr="0028655D">
              <w:rPr>
                <w:rStyle w:val="Hyperlink"/>
                <w:noProof/>
                <w:highlight w:val="white"/>
                <w:lang w:val="en-GB"/>
              </w:rPr>
              <w:t>2.1.2.</w:t>
            </w:r>
            <w:r>
              <w:rPr>
                <w:rFonts w:asciiTheme="minorHAnsi" w:hAnsiTheme="minorHAnsi" w:cstheme="minorBidi"/>
                <w:noProof/>
                <w:kern w:val="2"/>
                <w:sz w:val="22"/>
                <w14:ligatures w14:val="standardContextual"/>
              </w:rPr>
              <w:tab/>
            </w:r>
            <w:r w:rsidRPr="0028655D">
              <w:rPr>
                <w:rStyle w:val="Hyperlink"/>
                <w:noProof/>
                <w:highlight w:val="white"/>
                <w:lang w:val="en-GB"/>
              </w:rPr>
              <w:t>Fine-model scenario simulations</w:t>
            </w:r>
            <w:r>
              <w:rPr>
                <w:noProof/>
                <w:webHidden/>
              </w:rPr>
              <w:tab/>
            </w:r>
            <w:r>
              <w:rPr>
                <w:noProof/>
                <w:webHidden/>
              </w:rPr>
              <w:fldChar w:fldCharType="begin"/>
            </w:r>
            <w:r>
              <w:rPr>
                <w:noProof/>
                <w:webHidden/>
              </w:rPr>
              <w:instrText xml:space="preserve"> PAGEREF _Toc145304816 \h </w:instrText>
            </w:r>
            <w:r>
              <w:rPr>
                <w:noProof/>
                <w:webHidden/>
              </w:rPr>
            </w:r>
            <w:r>
              <w:rPr>
                <w:noProof/>
                <w:webHidden/>
              </w:rPr>
              <w:fldChar w:fldCharType="separate"/>
            </w:r>
            <w:r>
              <w:rPr>
                <w:noProof/>
                <w:webHidden/>
              </w:rPr>
              <w:t>27</w:t>
            </w:r>
            <w:r>
              <w:rPr>
                <w:noProof/>
                <w:webHidden/>
              </w:rPr>
              <w:fldChar w:fldCharType="end"/>
            </w:r>
          </w:hyperlink>
        </w:p>
        <w:p w14:paraId="0FC137EE" w14:textId="47DF8F08" w:rsidR="00D50E37" w:rsidRDefault="00D50E37">
          <w:pPr>
            <w:pStyle w:val="TOC3"/>
            <w:tabs>
              <w:tab w:val="left" w:pos="1320"/>
              <w:tab w:val="right" w:leader="dot" w:pos="9061"/>
            </w:tabs>
            <w:rPr>
              <w:rFonts w:asciiTheme="minorHAnsi" w:hAnsiTheme="minorHAnsi" w:cstheme="minorBidi"/>
              <w:noProof/>
              <w:kern w:val="2"/>
              <w:sz w:val="22"/>
              <w14:ligatures w14:val="standardContextual"/>
            </w:rPr>
          </w:pPr>
          <w:hyperlink w:anchor="_Toc145304817" w:history="1">
            <w:r w:rsidRPr="0028655D">
              <w:rPr>
                <w:rStyle w:val="Hyperlink"/>
                <w:noProof/>
                <w:highlight w:val="white"/>
                <w:lang w:val="en-GB"/>
              </w:rPr>
              <w:t>2.1.3.</w:t>
            </w:r>
            <w:r>
              <w:rPr>
                <w:rFonts w:asciiTheme="minorHAnsi" w:hAnsiTheme="minorHAnsi" w:cstheme="minorBidi"/>
                <w:noProof/>
                <w:kern w:val="2"/>
                <w:sz w:val="22"/>
                <w14:ligatures w14:val="standardContextual"/>
              </w:rPr>
              <w:tab/>
            </w:r>
            <w:r w:rsidRPr="0028655D">
              <w:rPr>
                <w:rStyle w:val="Hyperlink"/>
                <w:noProof/>
                <w:highlight w:val="white"/>
                <w:lang w:val="en-GB"/>
              </w:rPr>
              <w:t>Conclusions</w:t>
            </w:r>
            <w:r>
              <w:rPr>
                <w:noProof/>
                <w:webHidden/>
              </w:rPr>
              <w:tab/>
            </w:r>
            <w:r>
              <w:rPr>
                <w:noProof/>
                <w:webHidden/>
              </w:rPr>
              <w:fldChar w:fldCharType="begin"/>
            </w:r>
            <w:r>
              <w:rPr>
                <w:noProof/>
                <w:webHidden/>
              </w:rPr>
              <w:instrText xml:space="preserve"> PAGEREF _Toc145304817 \h </w:instrText>
            </w:r>
            <w:r>
              <w:rPr>
                <w:noProof/>
                <w:webHidden/>
              </w:rPr>
            </w:r>
            <w:r>
              <w:rPr>
                <w:noProof/>
                <w:webHidden/>
              </w:rPr>
              <w:fldChar w:fldCharType="separate"/>
            </w:r>
            <w:r>
              <w:rPr>
                <w:noProof/>
                <w:webHidden/>
              </w:rPr>
              <w:t>33</w:t>
            </w:r>
            <w:r>
              <w:rPr>
                <w:noProof/>
                <w:webHidden/>
              </w:rPr>
              <w:fldChar w:fldCharType="end"/>
            </w:r>
          </w:hyperlink>
        </w:p>
        <w:p w14:paraId="028B5CD6" w14:textId="617E79E4" w:rsidR="00D50E37" w:rsidRDefault="00D50E37">
          <w:pPr>
            <w:pStyle w:val="TOC1"/>
            <w:tabs>
              <w:tab w:val="left" w:pos="446"/>
              <w:tab w:val="right" w:leader="dot" w:pos="9061"/>
            </w:tabs>
            <w:rPr>
              <w:rFonts w:asciiTheme="minorHAnsi" w:hAnsiTheme="minorHAnsi" w:cstheme="minorBidi"/>
              <w:noProof/>
              <w:kern w:val="2"/>
              <w:sz w:val="22"/>
              <w14:ligatures w14:val="standardContextual"/>
            </w:rPr>
          </w:pPr>
          <w:hyperlink w:anchor="_Toc145304818" w:history="1">
            <w:r w:rsidRPr="0028655D">
              <w:rPr>
                <w:rStyle w:val="Hyperlink"/>
                <w:noProof/>
                <w:lang w:val="en-GB"/>
              </w:rPr>
              <w:t>3.</w:t>
            </w:r>
            <w:r>
              <w:rPr>
                <w:rFonts w:asciiTheme="minorHAnsi" w:hAnsiTheme="minorHAnsi" w:cstheme="minorBidi"/>
                <w:noProof/>
                <w:kern w:val="2"/>
                <w:sz w:val="22"/>
                <w14:ligatures w14:val="standardContextual"/>
              </w:rPr>
              <w:tab/>
            </w:r>
            <w:r w:rsidRPr="0028655D">
              <w:rPr>
                <w:rStyle w:val="Hyperlink"/>
                <w:noProof/>
                <w:lang w:val="en-GB"/>
              </w:rPr>
              <w:t>References</w:t>
            </w:r>
            <w:r>
              <w:rPr>
                <w:noProof/>
                <w:webHidden/>
              </w:rPr>
              <w:tab/>
            </w:r>
            <w:r>
              <w:rPr>
                <w:noProof/>
                <w:webHidden/>
              </w:rPr>
              <w:fldChar w:fldCharType="begin"/>
            </w:r>
            <w:r>
              <w:rPr>
                <w:noProof/>
                <w:webHidden/>
              </w:rPr>
              <w:instrText xml:space="preserve"> PAGEREF _Toc145304818 \h </w:instrText>
            </w:r>
            <w:r>
              <w:rPr>
                <w:noProof/>
                <w:webHidden/>
              </w:rPr>
            </w:r>
            <w:r>
              <w:rPr>
                <w:noProof/>
                <w:webHidden/>
              </w:rPr>
              <w:fldChar w:fldCharType="separate"/>
            </w:r>
            <w:r>
              <w:rPr>
                <w:noProof/>
                <w:webHidden/>
              </w:rPr>
              <w:t>34</w:t>
            </w:r>
            <w:r>
              <w:rPr>
                <w:noProof/>
                <w:webHidden/>
              </w:rPr>
              <w:fldChar w:fldCharType="end"/>
            </w:r>
          </w:hyperlink>
        </w:p>
        <w:p w14:paraId="3122CFB9" w14:textId="37753A23" w:rsidR="00EF6919" w:rsidRPr="006F151C" w:rsidRDefault="00EF6919" w:rsidP="008547D4">
          <w:pPr>
            <w:rPr>
              <w:lang w:val="en-GB"/>
            </w:rPr>
          </w:pPr>
          <w:r w:rsidRPr="006F151C">
            <w:rPr>
              <w:noProof/>
              <w:lang w:val="en-GB"/>
            </w:rPr>
            <w:fldChar w:fldCharType="end"/>
          </w:r>
        </w:p>
      </w:sdtContent>
    </w:sdt>
    <w:p w14:paraId="1F87B81D" w14:textId="77777777" w:rsidR="00294807" w:rsidRPr="006F151C" w:rsidRDefault="00294807" w:rsidP="00294807">
      <w:pPr>
        <w:pStyle w:val="TOCHeading"/>
        <w:rPr>
          <w:lang w:val="en-GB"/>
        </w:rPr>
      </w:pPr>
      <w:r w:rsidRPr="006F151C">
        <w:rPr>
          <w:lang w:val="en-GB"/>
        </w:rPr>
        <w:lastRenderedPageBreak/>
        <w:t>List of Figures</w:t>
      </w:r>
    </w:p>
    <w:p w14:paraId="34AEE416" w14:textId="77777777" w:rsidR="003238D1" w:rsidRPr="006F151C" w:rsidRDefault="003238D1" w:rsidP="00D10EFB">
      <w:pPr>
        <w:rPr>
          <w:lang w:val="en-GB"/>
        </w:rPr>
      </w:pPr>
    </w:p>
    <w:p w14:paraId="4AA02984" w14:textId="77777777" w:rsidR="00C06527" w:rsidRDefault="00294807">
      <w:pPr>
        <w:pStyle w:val="TableofFigures"/>
        <w:tabs>
          <w:tab w:val="right" w:leader="dot" w:pos="9061"/>
        </w:tabs>
        <w:rPr>
          <w:rFonts w:asciiTheme="minorHAnsi" w:eastAsiaTheme="minorEastAsia" w:hAnsiTheme="minorHAnsi"/>
          <w:noProof/>
          <w:sz w:val="22"/>
          <w:lang w:val="en-GB" w:eastAsia="en-GB"/>
        </w:rPr>
      </w:pPr>
      <w:r w:rsidRPr="006F151C">
        <w:rPr>
          <w:lang w:val="en-GB"/>
        </w:rPr>
        <w:fldChar w:fldCharType="begin"/>
      </w:r>
      <w:r w:rsidRPr="006F151C">
        <w:rPr>
          <w:lang w:val="en-GB"/>
        </w:rPr>
        <w:instrText xml:space="preserve"> TOC \h \z \c "Figure" </w:instrText>
      </w:r>
      <w:r w:rsidRPr="006F151C">
        <w:rPr>
          <w:lang w:val="en-GB"/>
        </w:rPr>
        <w:fldChar w:fldCharType="separate"/>
      </w:r>
      <w:hyperlink w:anchor="_Toc144800885" w:history="1">
        <w:r w:rsidR="00C06527" w:rsidRPr="00D71BDE">
          <w:rPr>
            <w:rStyle w:val="Hyperlink"/>
            <w:noProof/>
            <w:lang w:val="en-GB"/>
          </w:rPr>
          <w:t>Figure 1: Domain and bathymetry of the nested models: Mediterranean Sea (~5Km horizontal resolution, top) and Cyprus Sea (~400m horizontal resolution, bottom). The three nested (~400m resolution, Sub-model 1,2, 3) and fine-resolution (~100m, Cyp-1fine and Cyp-2fine) sub-models in the Cyprus domain, existing (red dots) and open sea potential new (green dots) fish farms are also indicated. The red dots represent the existing licences (see Table 3 for existing site areas 1-11).</w:t>
        </w:r>
        <w:r w:rsidR="00C06527">
          <w:rPr>
            <w:noProof/>
            <w:webHidden/>
          </w:rPr>
          <w:tab/>
        </w:r>
        <w:r w:rsidR="00C06527">
          <w:rPr>
            <w:noProof/>
            <w:webHidden/>
          </w:rPr>
          <w:fldChar w:fldCharType="begin"/>
        </w:r>
        <w:r w:rsidR="00C06527">
          <w:rPr>
            <w:noProof/>
            <w:webHidden/>
          </w:rPr>
          <w:instrText xml:space="preserve"> PAGEREF _Toc144800885 \h </w:instrText>
        </w:r>
        <w:r w:rsidR="00C06527">
          <w:rPr>
            <w:noProof/>
            <w:webHidden/>
          </w:rPr>
        </w:r>
        <w:r w:rsidR="00C06527">
          <w:rPr>
            <w:noProof/>
            <w:webHidden/>
          </w:rPr>
          <w:fldChar w:fldCharType="separate"/>
        </w:r>
        <w:r w:rsidR="00C06527">
          <w:rPr>
            <w:noProof/>
            <w:webHidden/>
          </w:rPr>
          <w:t>14</w:t>
        </w:r>
        <w:r w:rsidR="00C06527">
          <w:rPr>
            <w:noProof/>
            <w:webHidden/>
          </w:rPr>
          <w:fldChar w:fldCharType="end"/>
        </w:r>
      </w:hyperlink>
    </w:p>
    <w:p w14:paraId="7D658F7B"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86" w:history="1">
        <w:r w:rsidR="00C06527" w:rsidRPr="00D71BDE">
          <w:rPr>
            <w:rStyle w:val="Hyperlink"/>
            <w:noProof/>
            <w:lang w:val="en-GB"/>
          </w:rPr>
          <w:t>Figure 2: Simulated mean spring near surface current velocity and phosphates (PO4) fractional change (Sc2/Ref0-1) during 2016, 2017 and 2018. The scenario simulation (Sc2) includes the impact from existing coastal fish farms (see Fig.1) and also Governor’s beach (5kt) open sea aquaculture. The reference (Ref0) simulation has no fish farms. A fractional change=0.5 indicates an increase of +50%.</w:t>
        </w:r>
        <w:r w:rsidR="00C06527">
          <w:rPr>
            <w:noProof/>
            <w:webHidden/>
          </w:rPr>
          <w:tab/>
        </w:r>
        <w:r w:rsidR="00C06527">
          <w:rPr>
            <w:noProof/>
            <w:webHidden/>
          </w:rPr>
          <w:fldChar w:fldCharType="begin"/>
        </w:r>
        <w:r w:rsidR="00C06527">
          <w:rPr>
            <w:noProof/>
            <w:webHidden/>
          </w:rPr>
          <w:instrText xml:space="preserve"> PAGEREF _Toc144800886 \h </w:instrText>
        </w:r>
        <w:r w:rsidR="00C06527">
          <w:rPr>
            <w:noProof/>
            <w:webHidden/>
          </w:rPr>
        </w:r>
        <w:r w:rsidR="00C06527">
          <w:rPr>
            <w:noProof/>
            <w:webHidden/>
          </w:rPr>
          <w:fldChar w:fldCharType="separate"/>
        </w:r>
        <w:r w:rsidR="00C06527">
          <w:rPr>
            <w:noProof/>
            <w:webHidden/>
          </w:rPr>
          <w:t>16</w:t>
        </w:r>
        <w:r w:rsidR="00C06527">
          <w:rPr>
            <w:noProof/>
            <w:webHidden/>
          </w:rPr>
          <w:fldChar w:fldCharType="end"/>
        </w:r>
      </w:hyperlink>
    </w:p>
    <w:p w14:paraId="3C3E5C6B"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87" w:history="1">
        <w:r w:rsidR="00C06527" w:rsidRPr="00D71BDE">
          <w:rPr>
            <w:rStyle w:val="Hyperlink"/>
            <w:noProof/>
            <w:lang w:val="en-GB"/>
          </w:rPr>
          <w:t>Figure 3: Simulated (left) and satellite (right) mean spring sea surface temperature (SST) over 2016 (top), 2017 (middle) and 2018 (bottom) period.</w:t>
        </w:r>
        <w:r w:rsidR="00C06527">
          <w:rPr>
            <w:noProof/>
            <w:webHidden/>
          </w:rPr>
          <w:tab/>
        </w:r>
        <w:r w:rsidR="00C06527">
          <w:rPr>
            <w:noProof/>
            <w:webHidden/>
          </w:rPr>
          <w:fldChar w:fldCharType="begin"/>
        </w:r>
        <w:r w:rsidR="00C06527">
          <w:rPr>
            <w:noProof/>
            <w:webHidden/>
          </w:rPr>
          <w:instrText xml:space="preserve"> PAGEREF _Toc144800887 \h </w:instrText>
        </w:r>
        <w:r w:rsidR="00C06527">
          <w:rPr>
            <w:noProof/>
            <w:webHidden/>
          </w:rPr>
        </w:r>
        <w:r w:rsidR="00C06527">
          <w:rPr>
            <w:noProof/>
            <w:webHidden/>
          </w:rPr>
          <w:fldChar w:fldCharType="separate"/>
        </w:r>
        <w:r w:rsidR="00C06527">
          <w:rPr>
            <w:noProof/>
            <w:webHidden/>
          </w:rPr>
          <w:t>17</w:t>
        </w:r>
        <w:r w:rsidR="00C06527">
          <w:rPr>
            <w:noProof/>
            <w:webHidden/>
          </w:rPr>
          <w:fldChar w:fldCharType="end"/>
        </w:r>
      </w:hyperlink>
    </w:p>
    <w:p w14:paraId="3F6C3CBA"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88" w:history="1">
        <w:r w:rsidR="00C06527" w:rsidRPr="00D71BDE">
          <w:rPr>
            <w:rStyle w:val="Hyperlink"/>
            <w:noProof/>
            <w:lang w:val="en-GB"/>
          </w:rPr>
          <w:t>Figure 4: Simulated Eutrophication Index (E.I) with Cyp-1 sub-model, during spring 2016 (top), 2017 (middle) and 2018 (bottom), indicating environmental status (&lt;0.04 very good, 0.04 - 0.38 good, 0.38 - 0.85 moderate, 0.85 - 1.51 poor, &gt; 1.51 bad) in high impact scenario simulation (Sc2, see Table 1) with existing fish farms, Governor’s beach (5kt) and Larnaca (3kt) open sea farms. Existing (magenta dots) and new (black dots) OS farms locations are indicated.</w:t>
        </w:r>
        <w:r w:rsidR="00C06527">
          <w:rPr>
            <w:noProof/>
            <w:webHidden/>
          </w:rPr>
          <w:tab/>
        </w:r>
        <w:r w:rsidR="00C06527">
          <w:rPr>
            <w:noProof/>
            <w:webHidden/>
          </w:rPr>
          <w:fldChar w:fldCharType="begin"/>
        </w:r>
        <w:r w:rsidR="00C06527">
          <w:rPr>
            <w:noProof/>
            <w:webHidden/>
          </w:rPr>
          <w:instrText xml:space="preserve"> PAGEREF _Toc144800888 \h </w:instrText>
        </w:r>
        <w:r w:rsidR="00C06527">
          <w:rPr>
            <w:noProof/>
            <w:webHidden/>
          </w:rPr>
        </w:r>
        <w:r w:rsidR="00C06527">
          <w:rPr>
            <w:noProof/>
            <w:webHidden/>
          </w:rPr>
          <w:fldChar w:fldCharType="separate"/>
        </w:r>
        <w:r w:rsidR="00C06527">
          <w:rPr>
            <w:noProof/>
            <w:webHidden/>
          </w:rPr>
          <w:t>18</w:t>
        </w:r>
        <w:r w:rsidR="00C06527">
          <w:rPr>
            <w:noProof/>
            <w:webHidden/>
          </w:rPr>
          <w:fldChar w:fldCharType="end"/>
        </w:r>
      </w:hyperlink>
    </w:p>
    <w:p w14:paraId="36628CD4"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89" w:history="1">
        <w:r w:rsidR="00C06527" w:rsidRPr="00D71BDE">
          <w:rPr>
            <w:rStyle w:val="Hyperlink"/>
            <w:noProof/>
            <w:lang w:val="en-GB"/>
          </w:rPr>
          <w:t>Figure 5: Simulated Eutrophication Index (E.I) with Cyp-1, Cyp-2 and Cyp-3 sub-models, during spring 2016 (top), 2017 (middle) and 2018 (bottom), with the high impact scenario simulation (Sc2, see Table 1) with existing fish farms, Governor’s beach (5kt) and Larnaca (3kt) open sea farms. Existing (magenta dots) and new (black dots) OS farms locations are indicated.</w:t>
        </w:r>
        <w:r w:rsidR="00C06527">
          <w:rPr>
            <w:noProof/>
            <w:webHidden/>
          </w:rPr>
          <w:tab/>
        </w:r>
        <w:r w:rsidR="00C06527">
          <w:rPr>
            <w:noProof/>
            <w:webHidden/>
          </w:rPr>
          <w:fldChar w:fldCharType="begin"/>
        </w:r>
        <w:r w:rsidR="00C06527">
          <w:rPr>
            <w:noProof/>
            <w:webHidden/>
          </w:rPr>
          <w:instrText xml:space="preserve"> PAGEREF _Toc144800889 \h </w:instrText>
        </w:r>
        <w:r w:rsidR="00C06527">
          <w:rPr>
            <w:noProof/>
            <w:webHidden/>
          </w:rPr>
        </w:r>
        <w:r w:rsidR="00C06527">
          <w:rPr>
            <w:noProof/>
            <w:webHidden/>
          </w:rPr>
          <w:fldChar w:fldCharType="separate"/>
        </w:r>
        <w:r w:rsidR="00C06527">
          <w:rPr>
            <w:noProof/>
            <w:webHidden/>
          </w:rPr>
          <w:t>19</w:t>
        </w:r>
        <w:r w:rsidR="00C06527">
          <w:rPr>
            <w:noProof/>
            <w:webHidden/>
          </w:rPr>
          <w:fldChar w:fldCharType="end"/>
        </w:r>
      </w:hyperlink>
    </w:p>
    <w:p w14:paraId="7DC17202"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0" w:history="1">
        <w:r w:rsidR="00C06527" w:rsidRPr="00D71BDE">
          <w:rPr>
            <w:rStyle w:val="Hyperlink"/>
            <w:noProof/>
            <w:lang w:val="en-GB"/>
          </w:rPr>
          <w:t>Figure 6: Simulated mean spring near surface current velocity and phosphates (PO4) fractional change (Sc2/Ref0-1) during 2016, 2017 and 2018. The scenario simulation (Sc2) includes the impact of existing coastal fish farms (see Fig.1) and also Xylofagou-West (5kt) and Larnaca (3kt) open sea aquaculture. The reference (Ref0) simulation has no fish farms. A fractional change=0.5 indicates an increase of +50%.</w:t>
        </w:r>
        <w:r w:rsidR="00C06527">
          <w:rPr>
            <w:noProof/>
            <w:webHidden/>
          </w:rPr>
          <w:tab/>
        </w:r>
        <w:r w:rsidR="00C06527">
          <w:rPr>
            <w:noProof/>
            <w:webHidden/>
          </w:rPr>
          <w:fldChar w:fldCharType="begin"/>
        </w:r>
        <w:r w:rsidR="00C06527">
          <w:rPr>
            <w:noProof/>
            <w:webHidden/>
          </w:rPr>
          <w:instrText xml:space="preserve"> PAGEREF _Toc144800890 \h </w:instrText>
        </w:r>
        <w:r w:rsidR="00C06527">
          <w:rPr>
            <w:noProof/>
            <w:webHidden/>
          </w:rPr>
        </w:r>
        <w:r w:rsidR="00C06527">
          <w:rPr>
            <w:noProof/>
            <w:webHidden/>
          </w:rPr>
          <w:fldChar w:fldCharType="separate"/>
        </w:r>
        <w:r w:rsidR="00C06527">
          <w:rPr>
            <w:noProof/>
            <w:webHidden/>
          </w:rPr>
          <w:t>20</w:t>
        </w:r>
        <w:r w:rsidR="00C06527">
          <w:rPr>
            <w:noProof/>
            <w:webHidden/>
          </w:rPr>
          <w:fldChar w:fldCharType="end"/>
        </w:r>
      </w:hyperlink>
    </w:p>
    <w:p w14:paraId="013FC47F"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1" w:history="1">
        <w:r w:rsidR="00C06527" w:rsidRPr="00D71BDE">
          <w:rPr>
            <w:rStyle w:val="Hyperlink"/>
            <w:noProof/>
            <w:lang w:val="en-GB"/>
          </w:rPr>
          <w:t>Figure 7: Simulated Eutrophication Index (E.I) with Cyp-2 sub-model, during spring 2016 (top), 2017 (middle) and 2018 (bottom), indicating environmental status (&lt;0.04 very good, 0.04 - 0.38 good, 0.38 - 0.85 moderate, 0.85 - 1.51 poor, &gt; 1.51 bad) in high impact scenario simulation (Sc2, see Table 2) with existing fish farms, Xylofagou (5kt) and Larnaca (3kt) open sea farms. Existing (magenta dots) and new (black dots) OS farms locations are indicated.</w:t>
        </w:r>
        <w:r w:rsidR="00C06527">
          <w:rPr>
            <w:noProof/>
            <w:webHidden/>
          </w:rPr>
          <w:tab/>
        </w:r>
        <w:r w:rsidR="00C06527">
          <w:rPr>
            <w:noProof/>
            <w:webHidden/>
          </w:rPr>
          <w:fldChar w:fldCharType="begin"/>
        </w:r>
        <w:r w:rsidR="00C06527">
          <w:rPr>
            <w:noProof/>
            <w:webHidden/>
          </w:rPr>
          <w:instrText xml:space="preserve"> PAGEREF _Toc144800891 \h </w:instrText>
        </w:r>
        <w:r w:rsidR="00C06527">
          <w:rPr>
            <w:noProof/>
            <w:webHidden/>
          </w:rPr>
        </w:r>
        <w:r w:rsidR="00C06527">
          <w:rPr>
            <w:noProof/>
            <w:webHidden/>
          </w:rPr>
          <w:fldChar w:fldCharType="separate"/>
        </w:r>
        <w:r w:rsidR="00C06527">
          <w:rPr>
            <w:noProof/>
            <w:webHidden/>
          </w:rPr>
          <w:t>21</w:t>
        </w:r>
        <w:r w:rsidR="00C06527">
          <w:rPr>
            <w:noProof/>
            <w:webHidden/>
          </w:rPr>
          <w:fldChar w:fldCharType="end"/>
        </w:r>
      </w:hyperlink>
    </w:p>
    <w:p w14:paraId="0661E2BB"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2" w:history="1">
        <w:r w:rsidR="00C06527" w:rsidRPr="00D71BDE">
          <w:rPr>
            <w:rStyle w:val="Hyperlink"/>
            <w:noProof/>
            <w:lang w:val="en-GB"/>
          </w:rPr>
          <w:t>Figure 8: Simulated seasonal mean near surface current velocity and phosphates (PO4) fractional change (Sc2/Ref-1) during 2016. The scenario simulation (Sc2) includes the impact from new open sea aquaculture (5kt) at Aphrodite’s hills site. In the reference (Ref) simulation there are no fish farms. A fractional change=0.5 indicates an increase of +50%.</w:t>
        </w:r>
        <w:r w:rsidR="00C06527">
          <w:rPr>
            <w:noProof/>
            <w:webHidden/>
          </w:rPr>
          <w:tab/>
        </w:r>
        <w:r w:rsidR="00C06527">
          <w:rPr>
            <w:noProof/>
            <w:webHidden/>
          </w:rPr>
          <w:fldChar w:fldCharType="begin"/>
        </w:r>
        <w:r w:rsidR="00C06527">
          <w:rPr>
            <w:noProof/>
            <w:webHidden/>
          </w:rPr>
          <w:instrText xml:space="preserve"> PAGEREF _Toc144800892 \h </w:instrText>
        </w:r>
        <w:r w:rsidR="00C06527">
          <w:rPr>
            <w:noProof/>
            <w:webHidden/>
          </w:rPr>
        </w:r>
        <w:r w:rsidR="00C06527">
          <w:rPr>
            <w:noProof/>
            <w:webHidden/>
          </w:rPr>
          <w:fldChar w:fldCharType="separate"/>
        </w:r>
        <w:r w:rsidR="00C06527">
          <w:rPr>
            <w:noProof/>
            <w:webHidden/>
          </w:rPr>
          <w:t>22</w:t>
        </w:r>
        <w:r w:rsidR="00C06527">
          <w:rPr>
            <w:noProof/>
            <w:webHidden/>
          </w:rPr>
          <w:fldChar w:fldCharType="end"/>
        </w:r>
      </w:hyperlink>
    </w:p>
    <w:p w14:paraId="7443C1F3"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3" w:history="1">
        <w:r w:rsidR="00C06527" w:rsidRPr="00D71BDE">
          <w:rPr>
            <w:rStyle w:val="Hyperlink"/>
            <w:noProof/>
            <w:lang w:val="en-GB"/>
          </w:rPr>
          <w:t>Figure 9: Simulated Eutrophication Index (E.I) with Cyp-3 sub-model, during spring 2016 (top), 2017 (middle) and 2018 (bottom), indicating environmental status (&lt;0.04 very good, 0.04 - 0.38 good, 0.38 - 0.85 moderate, 0.85 - 1.51 poor, &gt; 1.51 bad) in high impact scenario simulation (Sc2, see Table 2) with Aphrodites (5kt) open sea farms. OS farms (black dots) locations are indicated.</w:t>
        </w:r>
        <w:r w:rsidR="00C06527">
          <w:rPr>
            <w:noProof/>
            <w:webHidden/>
          </w:rPr>
          <w:tab/>
        </w:r>
        <w:r w:rsidR="00C06527">
          <w:rPr>
            <w:noProof/>
            <w:webHidden/>
          </w:rPr>
          <w:fldChar w:fldCharType="begin"/>
        </w:r>
        <w:r w:rsidR="00C06527">
          <w:rPr>
            <w:noProof/>
            <w:webHidden/>
          </w:rPr>
          <w:instrText xml:space="preserve"> PAGEREF _Toc144800893 \h </w:instrText>
        </w:r>
        <w:r w:rsidR="00C06527">
          <w:rPr>
            <w:noProof/>
            <w:webHidden/>
          </w:rPr>
        </w:r>
        <w:r w:rsidR="00C06527">
          <w:rPr>
            <w:noProof/>
            <w:webHidden/>
          </w:rPr>
          <w:fldChar w:fldCharType="separate"/>
        </w:r>
        <w:r w:rsidR="00C06527">
          <w:rPr>
            <w:noProof/>
            <w:webHidden/>
          </w:rPr>
          <w:t>23</w:t>
        </w:r>
        <w:r w:rsidR="00C06527">
          <w:rPr>
            <w:noProof/>
            <w:webHidden/>
          </w:rPr>
          <w:fldChar w:fldCharType="end"/>
        </w:r>
      </w:hyperlink>
    </w:p>
    <w:p w14:paraId="66747E72"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4" w:history="1">
        <w:r w:rsidR="00C06527" w:rsidRPr="00D71BDE">
          <w:rPr>
            <w:rStyle w:val="Hyperlink"/>
            <w:noProof/>
            <w:lang w:val="en-GB"/>
          </w:rPr>
          <w:t>Figure 10: Simulated current speed (m/s) and direction (degrees), SST (</w:t>
        </w:r>
        <w:r w:rsidR="00C06527" w:rsidRPr="00D71BDE">
          <w:rPr>
            <w:rStyle w:val="Hyperlink"/>
            <w:noProof/>
            <w:vertAlign w:val="superscript"/>
            <w:lang w:val="en-GB"/>
          </w:rPr>
          <w:t>o</w:t>
        </w:r>
        <w:r w:rsidR="00C06527" w:rsidRPr="00D71BDE">
          <w:rPr>
            <w:rStyle w:val="Hyperlink"/>
            <w:noProof/>
            <w:lang w:val="en-GB"/>
          </w:rPr>
          <w:t>C), Chl-a (mg/m</w:t>
        </w:r>
        <w:r w:rsidR="00C06527" w:rsidRPr="00D71BDE">
          <w:rPr>
            <w:rStyle w:val="Hyperlink"/>
            <w:noProof/>
            <w:vertAlign w:val="superscript"/>
            <w:lang w:val="en-GB"/>
          </w:rPr>
          <w:t>3</w:t>
        </w:r>
        <w:r w:rsidR="00C06527" w:rsidRPr="00D71BDE">
          <w:rPr>
            <w:rStyle w:val="Hyperlink"/>
            <w:noProof/>
            <w:lang w:val="en-GB"/>
          </w:rPr>
          <w:t>) and Eutrophication Index (E.I), indicating environmental status (&lt;0.04 very good, 0.04 - 0.38 good, 0.38 - 0.85 moderate, 0.85 - 1.51 poor, &gt; 1.51 bad) in the vicinity of fish farms during spring for different scenario simulations: (Ref0: No fish farms and Sc2: high impact scenario, see Table 2), over 2016, 2017 and 2018 period.</w:t>
        </w:r>
        <w:r w:rsidR="00C06527">
          <w:rPr>
            <w:noProof/>
            <w:webHidden/>
          </w:rPr>
          <w:tab/>
        </w:r>
        <w:r w:rsidR="00C06527">
          <w:rPr>
            <w:noProof/>
            <w:webHidden/>
          </w:rPr>
          <w:fldChar w:fldCharType="begin"/>
        </w:r>
        <w:r w:rsidR="00C06527">
          <w:rPr>
            <w:noProof/>
            <w:webHidden/>
          </w:rPr>
          <w:instrText xml:space="preserve"> PAGEREF _Toc144800894 \h </w:instrText>
        </w:r>
        <w:r w:rsidR="00C06527">
          <w:rPr>
            <w:noProof/>
            <w:webHidden/>
          </w:rPr>
        </w:r>
        <w:r w:rsidR="00C06527">
          <w:rPr>
            <w:noProof/>
            <w:webHidden/>
          </w:rPr>
          <w:fldChar w:fldCharType="separate"/>
        </w:r>
        <w:r w:rsidR="00C06527">
          <w:rPr>
            <w:noProof/>
            <w:webHidden/>
          </w:rPr>
          <w:t>25</w:t>
        </w:r>
        <w:r w:rsidR="00C06527">
          <w:rPr>
            <w:noProof/>
            <w:webHidden/>
          </w:rPr>
          <w:fldChar w:fldCharType="end"/>
        </w:r>
      </w:hyperlink>
    </w:p>
    <w:p w14:paraId="1E23BD0C"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5" w:history="1">
        <w:r w:rsidR="00C06527" w:rsidRPr="00D71BDE">
          <w:rPr>
            <w:rStyle w:val="Hyperlink"/>
            <w:noProof/>
            <w:lang w:val="en-GB"/>
          </w:rPr>
          <w:t>Figure 11: Simulated current speed (m/s) and direction (degrees), SST (</w:t>
        </w:r>
        <w:r w:rsidR="00C06527" w:rsidRPr="00D71BDE">
          <w:rPr>
            <w:rStyle w:val="Hyperlink"/>
            <w:noProof/>
            <w:vertAlign w:val="superscript"/>
            <w:lang w:val="en-GB"/>
          </w:rPr>
          <w:t>o</w:t>
        </w:r>
        <w:r w:rsidR="00C06527" w:rsidRPr="00D71BDE">
          <w:rPr>
            <w:rStyle w:val="Hyperlink"/>
            <w:noProof/>
            <w:lang w:val="en-GB"/>
          </w:rPr>
          <w:t>C), Chl-a (mg/m</w:t>
        </w:r>
        <w:r w:rsidR="00C06527" w:rsidRPr="00D71BDE">
          <w:rPr>
            <w:rStyle w:val="Hyperlink"/>
            <w:noProof/>
            <w:vertAlign w:val="superscript"/>
            <w:lang w:val="en-GB"/>
          </w:rPr>
          <w:t>3</w:t>
        </w:r>
        <w:r w:rsidR="00C06527" w:rsidRPr="00D71BDE">
          <w:rPr>
            <w:rStyle w:val="Hyperlink"/>
            <w:noProof/>
            <w:lang w:val="en-GB"/>
          </w:rPr>
          <w:t>) and Eutrophication Index (E.I), indicating environmental status (&lt;0.04 very good, 0.04 - 0.38 good, 0.38 - 0.85 moderate, 0.85 - 1.51 poor, &gt; 1.51 bad) in the vicinity of fish farms during summer for different scenario simulations: (Ref0: No fish farms and Sc2: high impact scenario, see Table 2), over 2016, 2017 and 2018 period.</w:t>
        </w:r>
        <w:r w:rsidR="00C06527">
          <w:rPr>
            <w:noProof/>
            <w:webHidden/>
          </w:rPr>
          <w:tab/>
        </w:r>
        <w:r w:rsidR="00C06527">
          <w:rPr>
            <w:noProof/>
            <w:webHidden/>
          </w:rPr>
          <w:fldChar w:fldCharType="begin"/>
        </w:r>
        <w:r w:rsidR="00C06527">
          <w:rPr>
            <w:noProof/>
            <w:webHidden/>
          </w:rPr>
          <w:instrText xml:space="preserve"> PAGEREF _Toc144800895 \h </w:instrText>
        </w:r>
        <w:r w:rsidR="00C06527">
          <w:rPr>
            <w:noProof/>
            <w:webHidden/>
          </w:rPr>
        </w:r>
        <w:r w:rsidR="00C06527">
          <w:rPr>
            <w:noProof/>
            <w:webHidden/>
          </w:rPr>
          <w:fldChar w:fldCharType="separate"/>
        </w:r>
        <w:r w:rsidR="00C06527">
          <w:rPr>
            <w:noProof/>
            <w:webHidden/>
          </w:rPr>
          <w:t>26</w:t>
        </w:r>
        <w:r w:rsidR="00C06527">
          <w:rPr>
            <w:noProof/>
            <w:webHidden/>
          </w:rPr>
          <w:fldChar w:fldCharType="end"/>
        </w:r>
      </w:hyperlink>
    </w:p>
    <w:p w14:paraId="5C1842D5"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6" w:history="1">
        <w:r w:rsidR="00C06527" w:rsidRPr="00D71BDE">
          <w:rPr>
            <w:rStyle w:val="Hyperlink"/>
            <w:noProof/>
            <w:lang w:val="en-GB"/>
          </w:rPr>
          <w:t>Figure 12: Percentage variability (max/min</w:t>
        </w:r>
        <w:r w:rsidR="00C06527" w:rsidRPr="00D71BDE">
          <w:rPr>
            <w:rStyle w:val="Hyperlink"/>
            <w:noProof/>
            <w:vertAlign w:val="superscript"/>
            <w:lang w:val="en-GB"/>
          </w:rPr>
          <w:t>-1</w:t>
        </w:r>
        <w:r w:rsidR="00C06527" w:rsidRPr="00D71BDE">
          <w:rPr>
            <w:rStyle w:val="Hyperlink"/>
            <w:noProof/>
            <w:lang w:val="en-GB"/>
          </w:rPr>
          <w:t xml:space="preserve"> x 100, top) and mean (2016-2018) value of the eutrophication index, simulated over 2016-2018 in different areas for spring and summer period.</w:t>
        </w:r>
        <w:r w:rsidR="00C06527">
          <w:rPr>
            <w:noProof/>
            <w:webHidden/>
          </w:rPr>
          <w:tab/>
        </w:r>
        <w:r w:rsidR="00C06527">
          <w:rPr>
            <w:noProof/>
            <w:webHidden/>
          </w:rPr>
          <w:fldChar w:fldCharType="begin"/>
        </w:r>
        <w:r w:rsidR="00C06527">
          <w:rPr>
            <w:noProof/>
            <w:webHidden/>
          </w:rPr>
          <w:instrText xml:space="preserve"> PAGEREF _Toc144800896 \h </w:instrText>
        </w:r>
        <w:r w:rsidR="00C06527">
          <w:rPr>
            <w:noProof/>
            <w:webHidden/>
          </w:rPr>
        </w:r>
        <w:r w:rsidR="00C06527">
          <w:rPr>
            <w:noProof/>
            <w:webHidden/>
          </w:rPr>
          <w:fldChar w:fldCharType="separate"/>
        </w:r>
        <w:r w:rsidR="00C06527">
          <w:rPr>
            <w:noProof/>
            <w:webHidden/>
          </w:rPr>
          <w:t>27</w:t>
        </w:r>
        <w:r w:rsidR="00C06527">
          <w:rPr>
            <w:noProof/>
            <w:webHidden/>
          </w:rPr>
          <w:fldChar w:fldCharType="end"/>
        </w:r>
      </w:hyperlink>
    </w:p>
    <w:p w14:paraId="29C8DE8A"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7" w:history="1">
        <w:r w:rsidR="00C06527" w:rsidRPr="00D71BDE">
          <w:rPr>
            <w:rStyle w:val="Hyperlink"/>
            <w:noProof/>
            <w:lang w:val="en-GB"/>
          </w:rPr>
          <w:t>Figure 13: Simulated seasonal mean near surface current velocity and phosphates (PO</w:t>
        </w:r>
        <w:r w:rsidR="00C06527" w:rsidRPr="00D71BDE">
          <w:rPr>
            <w:rStyle w:val="Hyperlink"/>
            <w:noProof/>
            <w:vertAlign w:val="subscript"/>
            <w:lang w:val="en-GB"/>
          </w:rPr>
          <w:t>4</w:t>
        </w:r>
        <w:r w:rsidR="00C06527" w:rsidRPr="00D71BDE">
          <w:rPr>
            <w:rStyle w:val="Hyperlink"/>
            <w:noProof/>
            <w:lang w:val="en-GB"/>
          </w:rPr>
          <w:t>) fractional change (Sc2_fine/Ref0_fine</w:t>
        </w:r>
        <w:r w:rsidR="00C06527" w:rsidRPr="00D71BDE">
          <w:rPr>
            <w:rStyle w:val="Hyperlink"/>
            <w:noProof/>
            <w:vertAlign w:val="superscript"/>
            <w:lang w:val="en-GB"/>
          </w:rPr>
          <w:t>-1</w:t>
        </w:r>
        <w:r w:rsidR="00C06527" w:rsidRPr="00D71BDE">
          <w:rPr>
            <w:rStyle w:val="Hyperlink"/>
            <w:noProof/>
            <w:lang w:val="en-GB"/>
          </w:rPr>
          <w:t>) during 2016. The high impact scenario simulation (Sc2_fine) includes the impact from existing coastal fish farms (see Fig.1) and also Governor’s beach (5kt) and Larnaca (3kt) open sea aquaculture. The reference (Ref0_fine) simulation is without any fish farms. A fractional change=0.5 indicates an increase of +50%.</w:t>
        </w:r>
        <w:r w:rsidR="00C06527">
          <w:rPr>
            <w:noProof/>
            <w:webHidden/>
          </w:rPr>
          <w:tab/>
        </w:r>
        <w:r w:rsidR="00C06527">
          <w:rPr>
            <w:noProof/>
            <w:webHidden/>
          </w:rPr>
          <w:fldChar w:fldCharType="begin"/>
        </w:r>
        <w:r w:rsidR="00C06527">
          <w:rPr>
            <w:noProof/>
            <w:webHidden/>
          </w:rPr>
          <w:instrText xml:space="preserve"> PAGEREF _Toc144800897 \h </w:instrText>
        </w:r>
        <w:r w:rsidR="00C06527">
          <w:rPr>
            <w:noProof/>
            <w:webHidden/>
          </w:rPr>
        </w:r>
        <w:r w:rsidR="00C06527">
          <w:rPr>
            <w:noProof/>
            <w:webHidden/>
          </w:rPr>
          <w:fldChar w:fldCharType="separate"/>
        </w:r>
        <w:r w:rsidR="00C06527">
          <w:rPr>
            <w:noProof/>
            <w:webHidden/>
          </w:rPr>
          <w:t>27</w:t>
        </w:r>
        <w:r w:rsidR="00C06527">
          <w:rPr>
            <w:noProof/>
            <w:webHidden/>
          </w:rPr>
          <w:fldChar w:fldCharType="end"/>
        </w:r>
      </w:hyperlink>
    </w:p>
    <w:p w14:paraId="1A0E22F6"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8" w:history="1">
        <w:r w:rsidR="00C06527" w:rsidRPr="00D71BDE">
          <w:rPr>
            <w:rStyle w:val="Hyperlink"/>
            <w:noProof/>
            <w:lang w:val="en-GB"/>
          </w:rPr>
          <w:t>Figure 14: Simulated seasonal mean near-surface current velocity and phosphates (PO</w:t>
        </w:r>
        <w:r w:rsidR="00C06527" w:rsidRPr="00D71BDE">
          <w:rPr>
            <w:rStyle w:val="Hyperlink"/>
            <w:noProof/>
            <w:vertAlign w:val="subscript"/>
            <w:lang w:val="en-GB"/>
          </w:rPr>
          <w:t>4</w:t>
        </w:r>
        <w:r w:rsidR="00C06527" w:rsidRPr="00D71BDE">
          <w:rPr>
            <w:rStyle w:val="Hyperlink"/>
            <w:noProof/>
            <w:lang w:val="en-GB"/>
          </w:rPr>
          <w:t>) fractional change (Sc2_fine/Ref_fine</w:t>
        </w:r>
        <w:r w:rsidR="00C06527" w:rsidRPr="00D71BDE">
          <w:rPr>
            <w:rStyle w:val="Hyperlink"/>
            <w:noProof/>
            <w:vertAlign w:val="superscript"/>
            <w:lang w:val="en-GB"/>
          </w:rPr>
          <w:t>-1</w:t>
        </w:r>
        <w:r w:rsidR="00C06527" w:rsidRPr="00D71BDE">
          <w:rPr>
            <w:rStyle w:val="Hyperlink"/>
            <w:noProof/>
            <w:lang w:val="en-GB"/>
          </w:rPr>
          <w:t>) during 2016. The high-impact scenario simulation (Sc2_fine) includes the impact from existing coastal fish farms (see Fig.1) and also Governor’s Beach (5kt) and Larnaca (3kt) open sea aquaculture. The reference (Ref_fine) simulation includes only existing fish farms. A fractional change=0.5 indicates an increase of +50%.</w:t>
        </w:r>
        <w:r w:rsidR="00C06527">
          <w:rPr>
            <w:noProof/>
            <w:webHidden/>
          </w:rPr>
          <w:tab/>
        </w:r>
        <w:r w:rsidR="00C06527">
          <w:rPr>
            <w:noProof/>
            <w:webHidden/>
          </w:rPr>
          <w:fldChar w:fldCharType="begin"/>
        </w:r>
        <w:r w:rsidR="00C06527">
          <w:rPr>
            <w:noProof/>
            <w:webHidden/>
          </w:rPr>
          <w:instrText xml:space="preserve"> PAGEREF _Toc144800898 \h </w:instrText>
        </w:r>
        <w:r w:rsidR="00C06527">
          <w:rPr>
            <w:noProof/>
            <w:webHidden/>
          </w:rPr>
        </w:r>
        <w:r w:rsidR="00C06527">
          <w:rPr>
            <w:noProof/>
            <w:webHidden/>
          </w:rPr>
          <w:fldChar w:fldCharType="separate"/>
        </w:r>
        <w:r w:rsidR="00C06527">
          <w:rPr>
            <w:noProof/>
            <w:webHidden/>
          </w:rPr>
          <w:t>28</w:t>
        </w:r>
        <w:r w:rsidR="00C06527">
          <w:rPr>
            <w:noProof/>
            <w:webHidden/>
          </w:rPr>
          <w:fldChar w:fldCharType="end"/>
        </w:r>
      </w:hyperlink>
    </w:p>
    <w:p w14:paraId="2B5FEE24"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899" w:history="1">
        <w:r w:rsidR="00C06527" w:rsidRPr="00D71BDE">
          <w:rPr>
            <w:rStyle w:val="Hyperlink"/>
            <w:noProof/>
            <w:lang w:val="en-GB"/>
          </w:rPr>
          <w:t>Figure 15: Simulated Eutrophication Index (E.I) with Cyp-1fine sub-model, during spring (left) and summer (right) 2016, indicating environmental status (&lt;0.04 very good, 0.04 - 0.38 good, 0.38 - 0.85 moderate, 0.85 - 1.51 poor, &gt; 1.51 bad) in different scenario simulations: no fish farms (top row), existing fish farms (second row), existing fish farms+Governor’s Beach (5kt) and Larnaca (3kt) open sea farms (third row), existing fish farms+Governor’s Beach (2kt) and Larnaca (2kt) open sea farms (bottom raw) (see Table 3). Existing (red dots) and new (black dots) OS farms are indicated.</w:t>
        </w:r>
        <w:r w:rsidR="00C06527">
          <w:rPr>
            <w:noProof/>
            <w:webHidden/>
          </w:rPr>
          <w:tab/>
        </w:r>
        <w:r w:rsidR="00C06527">
          <w:rPr>
            <w:noProof/>
            <w:webHidden/>
          </w:rPr>
          <w:fldChar w:fldCharType="begin"/>
        </w:r>
        <w:r w:rsidR="00C06527">
          <w:rPr>
            <w:noProof/>
            <w:webHidden/>
          </w:rPr>
          <w:instrText xml:space="preserve"> PAGEREF _Toc144800899 \h </w:instrText>
        </w:r>
        <w:r w:rsidR="00C06527">
          <w:rPr>
            <w:noProof/>
            <w:webHidden/>
          </w:rPr>
        </w:r>
        <w:r w:rsidR="00C06527">
          <w:rPr>
            <w:noProof/>
            <w:webHidden/>
          </w:rPr>
          <w:fldChar w:fldCharType="separate"/>
        </w:r>
        <w:r w:rsidR="00C06527">
          <w:rPr>
            <w:noProof/>
            <w:webHidden/>
          </w:rPr>
          <w:t>29</w:t>
        </w:r>
        <w:r w:rsidR="00C06527">
          <w:rPr>
            <w:noProof/>
            <w:webHidden/>
          </w:rPr>
          <w:fldChar w:fldCharType="end"/>
        </w:r>
      </w:hyperlink>
    </w:p>
    <w:p w14:paraId="1A3FAC74"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900" w:history="1">
        <w:r w:rsidR="00C06527" w:rsidRPr="00D71BDE">
          <w:rPr>
            <w:rStyle w:val="Hyperlink"/>
            <w:noProof/>
            <w:lang w:val="en-GB"/>
          </w:rPr>
          <w:t>Figure 16: Simulated seasonal mean near surface current velocity and phosphates (PO</w:t>
        </w:r>
        <w:r w:rsidR="00C06527" w:rsidRPr="00D71BDE">
          <w:rPr>
            <w:rStyle w:val="Hyperlink"/>
            <w:noProof/>
            <w:vertAlign w:val="subscript"/>
            <w:lang w:val="en-GB"/>
          </w:rPr>
          <w:t>4</w:t>
        </w:r>
        <w:r w:rsidR="00C06527" w:rsidRPr="00D71BDE">
          <w:rPr>
            <w:rStyle w:val="Hyperlink"/>
            <w:noProof/>
            <w:lang w:val="en-GB"/>
          </w:rPr>
          <w:t xml:space="preserve">) fractional change (Sc2_fine/Ref0_fine-1) during 2016. The high impact scenario simulation (Sc2_fine) includes the impact from Xylofagou (5kt) and Larnaca (3kt) open </w:t>
        </w:r>
        <w:r w:rsidR="00C06527" w:rsidRPr="00D71BDE">
          <w:rPr>
            <w:rStyle w:val="Hyperlink"/>
            <w:noProof/>
            <w:lang w:val="en-GB"/>
          </w:rPr>
          <w:lastRenderedPageBreak/>
          <w:t>sea aquaculture. The reference (Ref0_fine) simulation is without any fish farms. A fractional change=0.5 indicates an increase of +50%.</w:t>
        </w:r>
        <w:r w:rsidR="00C06527">
          <w:rPr>
            <w:noProof/>
            <w:webHidden/>
          </w:rPr>
          <w:tab/>
        </w:r>
        <w:r w:rsidR="00C06527">
          <w:rPr>
            <w:noProof/>
            <w:webHidden/>
          </w:rPr>
          <w:fldChar w:fldCharType="begin"/>
        </w:r>
        <w:r w:rsidR="00C06527">
          <w:rPr>
            <w:noProof/>
            <w:webHidden/>
          </w:rPr>
          <w:instrText xml:space="preserve"> PAGEREF _Toc144800900 \h </w:instrText>
        </w:r>
        <w:r w:rsidR="00C06527">
          <w:rPr>
            <w:noProof/>
            <w:webHidden/>
          </w:rPr>
        </w:r>
        <w:r w:rsidR="00C06527">
          <w:rPr>
            <w:noProof/>
            <w:webHidden/>
          </w:rPr>
          <w:fldChar w:fldCharType="separate"/>
        </w:r>
        <w:r w:rsidR="00C06527">
          <w:rPr>
            <w:noProof/>
            <w:webHidden/>
          </w:rPr>
          <w:t>30</w:t>
        </w:r>
        <w:r w:rsidR="00C06527">
          <w:rPr>
            <w:noProof/>
            <w:webHidden/>
          </w:rPr>
          <w:fldChar w:fldCharType="end"/>
        </w:r>
      </w:hyperlink>
    </w:p>
    <w:p w14:paraId="17C79BA9"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901" w:history="1">
        <w:r w:rsidR="00C06527" w:rsidRPr="00D71BDE">
          <w:rPr>
            <w:rStyle w:val="Hyperlink"/>
            <w:noProof/>
            <w:lang w:val="en-GB"/>
          </w:rPr>
          <w:t>Figure 17: Simulated Eutrophication Index (E.I) with Cyp-2fine sub-model, during spring (left) and summer (right) 2016, indicating environmental status (&lt;0.04 very good, 0.04 - 0.38 good, 0.38 - 0.85 moderate, 0.85 - 1.51 poor, &gt; 1.51 bad) in different scenario simulations: no fish farms (top row), Xylofagou (2kt) and Larnaca (2kt) open sea farms (middle row), Xylofagou (5kt) and Larnaca (3kt) open sea farms (bottom row) (see Table 3). New (black dots) OS farms are indicated.</w:t>
        </w:r>
        <w:r w:rsidR="00C06527">
          <w:rPr>
            <w:noProof/>
            <w:webHidden/>
          </w:rPr>
          <w:tab/>
        </w:r>
        <w:r w:rsidR="00C06527">
          <w:rPr>
            <w:noProof/>
            <w:webHidden/>
          </w:rPr>
          <w:fldChar w:fldCharType="begin"/>
        </w:r>
        <w:r w:rsidR="00C06527">
          <w:rPr>
            <w:noProof/>
            <w:webHidden/>
          </w:rPr>
          <w:instrText xml:space="preserve"> PAGEREF _Toc144800901 \h </w:instrText>
        </w:r>
        <w:r w:rsidR="00C06527">
          <w:rPr>
            <w:noProof/>
            <w:webHidden/>
          </w:rPr>
        </w:r>
        <w:r w:rsidR="00C06527">
          <w:rPr>
            <w:noProof/>
            <w:webHidden/>
          </w:rPr>
          <w:fldChar w:fldCharType="separate"/>
        </w:r>
        <w:r w:rsidR="00C06527">
          <w:rPr>
            <w:noProof/>
            <w:webHidden/>
          </w:rPr>
          <w:t>31</w:t>
        </w:r>
        <w:r w:rsidR="00C06527">
          <w:rPr>
            <w:noProof/>
            <w:webHidden/>
          </w:rPr>
          <w:fldChar w:fldCharType="end"/>
        </w:r>
      </w:hyperlink>
    </w:p>
    <w:p w14:paraId="5FAB5ABD" w14:textId="77777777" w:rsidR="00C06527" w:rsidRDefault="00000000">
      <w:pPr>
        <w:pStyle w:val="TableofFigures"/>
        <w:tabs>
          <w:tab w:val="right" w:leader="dot" w:pos="9061"/>
        </w:tabs>
        <w:rPr>
          <w:rFonts w:asciiTheme="minorHAnsi" w:eastAsiaTheme="minorEastAsia" w:hAnsiTheme="minorHAnsi"/>
          <w:noProof/>
          <w:sz w:val="22"/>
          <w:lang w:val="en-GB" w:eastAsia="en-GB"/>
        </w:rPr>
      </w:pPr>
      <w:hyperlink w:anchor="_Toc144800902" w:history="1">
        <w:r w:rsidR="00C06527" w:rsidRPr="00D71BDE">
          <w:rPr>
            <w:rStyle w:val="Hyperlink"/>
            <w:noProof/>
            <w:lang w:val="en-GB"/>
          </w:rPr>
          <w:t>Figure 18: Simulated current speed (m/s, first row), SST (oC, second row),  Chl-a (mg/m</w:t>
        </w:r>
        <w:r w:rsidR="00C06527" w:rsidRPr="00D71BDE">
          <w:rPr>
            <w:rStyle w:val="Hyperlink"/>
            <w:noProof/>
            <w:vertAlign w:val="superscript"/>
            <w:lang w:val="en-GB"/>
          </w:rPr>
          <w:t>3</w:t>
        </w:r>
        <w:r w:rsidR="00C06527" w:rsidRPr="00D71BDE">
          <w:rPr>
            <w:rStyle w:val="Hyperlink"/>
            <w:noProof/>
            <w:lang w:val="en-GB"/>
          </w:rPr>
          <w:t>, third row) and Eutrophication Index (E.I. forth row), indicating environmental status (&lt;0.04 very good, 0.04 - 0.38 good, 0.38 - 0.85 moderate, 0.85 - 1.51 poor, &gt; 1.51 bad) in the vicinity of fish farms for different scenario simulations: (Ref_fine, Sc1_fine, Sc2_fine, see Table 3), during spring (left) and summer (right) 2016.</w:t>
        </w:r>
        <w:r w:rsidR="00C06527">
          <w:rPr>
            <w:noProof/>
            <w:webHidden/>
          </w:rPr>
          <w:tab/>
        </w:r>
        <w:r w:rsidR="00C06527">
          <w:rPr>
            <w:noProof/>
            <w:webHidden/>
          </w:rPr>
          <w:fldChar w:fldCharType="begin"/>
        </w:r>
        <w:r w:rsidR="00C06527">
          <w:rPr>
            <w:noProof/>
            <w:webHidden/>
          </w:rPr>
          <w:instrText xml:space="preserve"> PAGEREF _Toc144800902 \h </w:instrText>
        </w:r>
        <w:r w:rsidR="00C06527">
          <w:rPr>
            <w:noProof/>
            <w:webHidden/>
          </w:rPr>
        </w:r>
        <w:r w:rsidR="00C06527">
          <w:rPr>
            <w:noProof/>
            <w:webHidden/>
          </w:rPr>
          <w:fldChar w:fldCharType="separate"/>
        </w:r>
        <w:r w:rsidR="00C06527">
          <w:rPr>
            <w:noProof/>
            <w:webHidden/>
          </w:rPr>
          <w:t>32</w:t>
        </w:r>
        <w:r w:rsidR="00C06527">
          <w:rPr>
            <w:noProof/>
            <w:webHidden/>
          </w:rPr>
          <w:fldChar w:fldCharType="end"/>
        </w:r>
      </w:hyperlink>
    </w:p>
    <w:p w14:paraId="349AE41E" w14:textId="3DDB7657" w:rsidR="003238D1" w:rsidRPr="006F151C" w:rsidRDefault="00294807" w:rsidP="00D10EFB">
      <w:pPr>
        <w:rPr>
          <w:lang w:val="en-GB"/>
        </w:rPr>
      </w:pPr>
      <w:r w:rsidRPr="006F151C">
        <w:rPr>
          <w:lang w:val="en-GB"/>
        </w:rPr>
        <w:fldChar w:fldCharType="end"/>
      </w:r>
    </w:p>
    <w:p w14:paraId="352E1044" w14:textId="77777777" w:rsidR="00294807" w:rsidRPr="006F151C" w:rsidRDefault="00294807" w:rsidP="00294807">
      <w:pPr>
        <w:pStyle w:val="TOCHeading"/>
        <w:rPr>
          <w:lang w:val="en-GB"/>
        </w:rPr>
      </w:pPr>
      <w:r w:rsidRPr="006F151C">
        <w:rPr>
          <w:lang w:val="en-GB"/>
        </w:rPr>
        <w:lastRenderedPageBreak/>
        <w:t>List of Tables</w:t>
      </w:r>
    </w:p>
    <w:p w14:paraId="07C9D0EC" w14:textId="77777777" w:rsidR="00DD20E1" w:rsidRDefault="008F703E">
      <w:pPr>
        <w:pStyle w:val="TableofFigures"/>
        <w:tabs>
          <w:tab w:val="right" w:leader="dot" w:pos="9061"/>
        </w:tabs>
        <w:rPr>
          <w:rFonts w:asciiTheme="minorHAnsi" w:eastAsiaTheme="minorEastAsia" w:hAnsiTheme="minorHAnsi"/>
          <w:noProof/>
          <w:sz w:val="22"/>
          <w:lang w:val="en-GB" w:eastAsia="en-GB"/>
        </w:rPr>
      </w:pPr>
      <w:r w:rsidRPr="006F151C">
        <w:rPr>
          <w:lang w:val="en-GB"/>
        </w:rPr>
        <w:fldChar w:fldCharType="begin"/>
      </w:r>
      <w:r w:rsidRPr="006F151C">
        <w:rPr>
          <w:lang w:val="en-GB"/>
        </w:rPr>
        <w:instrText xml:space="preserve"> TOC \h \z \c "Table" </w:instrText>
      </w:r>
      <w:r w:rsidRPr="006F151C">
        <w:rPr>
          <w:lang w:val="en-GB"/>
        </w:rPr>
        <w:fldChar w:fldCharType="separate"/>
      </w:r>
      <w:hyperlink w:anchor="_Toc144800607" w:history="1">
        <w:r w:rsidR="00DD20E1" w:rsidRPr="00063682">
          <w:rPr>
            <w:rStyle w:val="Hyperlink"/>
            <w:noProof/>
            <w:lang w:val="en-GB"/>
          </w:rPr>
          <w:t>Table 1. OS Areas, technologies and annual open sea farm capacity were tested in the model runs.</w:t>
        </w:r>
        <w:r w:rsidR="00DD20E1">
          <w:rPr>
            <w:noProof/>
            <w:webHidden/>
          </w:rPr>
          <w:tab/>
        </w:r>
        <w:r w:rsidR="00DD20E1">
          <w:rPr>
            <w:noProof/>
            <w:webHidden/>
          </w:rPr>
          <w:fldChar w:fldCharType="begin"/>
        </w:r>
        <w:r w:rsidR="00DD20E1">
          <w:rPr>
            <w:noProof/>
            <w:webHidden/>
          </w:rPr>
          <w:instrText xml:space="preserve"> PAGEREF _Toc144800607 \h </w:instrText>
        </w:r>
        <w:r w:rsidR="00DD20E1">
          <w:rPr>
            <w:noProof/>
            <w:webHidden/>
          </w:rPr>
        </w:r>
        <w:r w:rsidR="00DD20E1">
          <w:rPr>
            <w:noProof/>
            <w:webHidden/>
          </w:rPr>
          <w:fldChar w:fldCharType="separate"/>
        </w:r>
        <w:r w:rsidR="00DD20E1">
          <w:rPr>
            <w:noProof/>
            <w:webHidden/>
          </w:rPr>
          <w:t>10</w:t>
        </w:r>
        <w:r w:rsidR="00DD20E1">
          <w:rPr>
            <w:noProof/>
            <w:webHidden/>
          </w:rPr>
          <w:fldChar w:fldCharType="end"/>
        </w:r>
      </w:hyperlink>
    </w:p>
    <w:p w14:paraId="6460AC73" w14:textId="77777777" w:rsidR="00DD20E1" w:rsidRDefault="00000000">
      <w:pPr>
        <w:pStyle w:val="TableofFigures"/>
        <w:tabs>
          <w:tab w:val="right" w:leader="dot" w:pos="9061"/>
        </w:tabs>
        <w:rPr>
          <w:rFonts w:asciiTheme="minorHAnsi" w:eastAsiaTheme="minorEastAsia" w:hAnsiTheme="minorHAnsi"/>
          <w:noProof/>
          <w:sz w:val="22"/>
          <w:lang w:val="en-GB" w:eastAsia="en-GB"/>
        </w:rPr>
      </w:pPr>
      <w:hyperlink w:anchor="_Toc144800608" w:history="1">
        <w:r w:rsidR="00DD20E1" w:rsidRPr="00063682">
          <w:rPr>
            <w:rStyle w:val="Hyperlink"/>
            <w:noProof/>
            <w:lang w:val="en-GB"/>
          </w:rPr>
          <w:t>Table 2. Scenario simulations, performed with Cyp-1, Cyp-2, Cyp-3 sub-models (see Fig 1 for the sub-model areas).</w:t>
        </w:r>
        <w:r w:rsidR="00DD20E1">
          <w:rPr>
            <w:noProof/>
            <w:webHidden/>
          </w:rPr>
          <w:tab/>
        </w:r>
        <w:r w:rsidR="00DD20E1">
          <w:rPr>
            <w:noProof/>
            <w:webHidden/>
          </w:rPr>
          <w:fldChar w:fldCharType="begin"/>
        </w:r>
        <w:r w:rsidR="00DD20E1">
          <w:rPr>
            <w:noProof/>
            <w:webHidden/>
          </w:rPr>
          <w:instrText xml:space="preserve"> PAGEREF _Toc144800608 \h </w:instrText>
        </w:r>
        <w:r w:rsidR="00DD20E1">
          <w:rPr>
            <w:noProof/>
            <w:webHidden/>
          </w:rPr>
        </w:r>
        <w:r w:rsidR="00DD20E1">
          <w:rPr>
            <w:noProof/>
            <w:webHidden/>
          </w:rPr>
          <w:fldChar w:fldCharType="separate"/>
        </w:r>
        <w:r w:rsidR="00DD20E1">
          <w:rPr>
            <w:noProof/>
            <w:webHidden/>
          </w:rPr>
          <w:t>15</w:t>
        </w:r>
        <w:r w:rsidR="00DD20E1">
          <w:rPr>
            <w:noProof/>
            <w:webHidden/>
          </w:rPr>
          <w:fldChar w:fldCharType="end"/>
        </w:r>
      </w:hyperlink>
    </w:p>
    <w:p w14:paraId="6BC492E3" w14:textId="77777777" w:rsidR="00DD20E1" w:rsidRDefault="00000000">
      <w:pPr>
        <w:pStyle w:val="TableofFigures"/>
        <w:tabs>
          <w:tab w:val="right" w:leader="dot" w:pos="9061"/>
        </w:tabs>
        <w:rPr>
          <w:rFonts w:asciiTheme="minorHAnsi" w:eastAsiaTheme="minorEastAsia" w:hAnsiTheme="minorHAnsi"/>
          <w:noProof/>
          <w:sz w:val="22"/>
          <w:lang w:val="en-GB" w:eastAsia="en-GB"/>
        </w:rPr>
      </w:pPr>
      <w:hyperlink w:anchor="_Toc144800609" w:history="1">
        <w:r w:rsidR="00DD20E1" w:rsidRPr="00063682">
          <w:rPr>
            <w:rStyle w:val="Hyperlink"/>
            <w:noProof/>
            <w:lang w:val="en-GB"/>
          </w:rPr>
          <w:t>Table 3. Scenario simulations, performed with Cyp-1fine, Cyp-2fine sub-models (see Fig 1 for the sub-model areas).</w:t>
        </w:r>
        <w:r w:rsidR="00DD20E1">
          <w:rPr>
            <w:noProof/>
            <w:webHidden/>
          </w:rPr>
          <w:tab/>
        </w:r>
        <w:r w:rsidR="00DD20E1">
          <w:rPr>
            <w:noProof/>
            <w:webHidden/>
          </w:rPr>
          <w:fldChar w:fldCharType="begin"/>
        </w:r>
        <w:r w:rsidR="00DD20E1">
          <w:rPr>
            <w:noProof/>
            <w:webHidden/>
          </w:rPr>
          <w:instrText xml:space="preserve"> PAGEREF _Toc144800609 \h </w:instrText>
        </w:r>
        <w:r w:rsidR="00DD20E1">
          <w:rPr>
            <w:noProof/>
            <w:webHidden/>
          </w:rPr>
        </w:r>
        <w:r w:rsidR="00DD20E1">
          <w:rPr>
            <w:noProof/>
            <w:webHidden/>
          </w:rPr>
          <w:fldChar w:fldCharType="separate"/>
        </w:r>
        <w:r w:rsidR="00DD20E1">
          <w:rPr>
            <w:noProof/>
            <w:webHidden/>
          </w:rPr>
          <w:t>15</w:t>
        </w:r>
        <w:r w:rsidR="00DD20E1">
          <w:rPr>
            <w:noProof/>
            <w:webHidden/>
          </w:rPr>
          <w:fldChar w:fldCharType="end"/>
        </w:r>
      </w:hyperlink>
    </w:p>
    <w:p w14:paraId="2EC93CF3" w14:textId="2B7EF5FA" w:rsidR="00294807" w:rsidRPr="006F151C" w:rsidRDefault="008F703E" w:rsidP="008F703E">
      <w:pPr>
        <w:pStyle w:val="Caption"/>
        <w:rPr>
          <w:lang w:val="en-GB"/>
        </w:rPr>
      </w:pPr>
      <w:r w:rsidRPr="006F151C">
        <w:rPr>
          <w:lang w:val="en-GB"/>
        </w:rPr>
        <w:fldChar w:fldCharType="end"/>
      </w:r>
    </w:p>
    <w:p w14:paraId="356AED63" w14:textId="77777777" w:rsidR="00AF1480" w:rsidRPr="006F151C" w:rsidRDefault="00AF1480" w:rsidP="00AF1480">
      <w:pPr>
        <w:rPr>
          <w:lang w:val="en-GB"/>
        </w:rPr>
      </w:pPr>
    </w:p>
    <w:p w14:paraId="6D5B221C" w14:textId="2B97718D" w:rsidR="00AF1480" w:rsidRPr="006F151C" w:rsidRDefault="00AF1480" w:rsidP="00AF1480">
      <w:pPr>
        <w:pStyle w:val="TOCHeading"/>
        <w:rPr>
          <w:lang w:val="en-GB"/>
        </w:rPr>
      </w:pPr>
      <w:r w:rsidRPr="006F151C">
        <w:rPr>
          <w:lang w:val="en-GB"/>
        </w:rPr>
        <w:lastRenderedPageBreak/>
        <w:t>List of Abbreviations</w:t>
      </w:r>
    </w:p>
    <w:p w14:paraId="6221BAF1" w14:textId="77777777" w:rsidR="00AF1480" w:rsidRPr="006F151C" w:rsidRDefault="00AF1480" w:rsidP="00AF1480">
      <w:pPr>
        <w:rPr>
          <w:lang w:val="en-GB"/>
        </w:rPr>
      </w:pPr>
    </w:p>
    <w:tbl>
      <w:tblPr>
        <w:tblStyle w:val="TableGrid"/>
        <w:tblW w:w="0" w:type="auto"/>
        <w:tblLook w:val="04A0" w:firstRow="1" w:lastRow="0" w:firstColumn="1" w:lastColumn="0" w:noHBand="0" w:noVBand="1"/>
      </w:tblPr>
      <w:tblGrid>
        <w:gridCol w:w="2263"/>
        <w:gridCol w:w="6798"/>
      </w:tblGrid>
      <w:tr w:rsidR="00AF1480" w:rsidRPr="006F151C" w14:paraId="53161681" w14:textId="77777777" w:rsidTr="00AF148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3" w:type="dxa"/>
          </w:tcPr>
          <w:p w14:paraId="75FC35A0" w14:textId="3221780C" w:rsidR="00AF1480" w:rsidRPr="006F151C" w:rsidRDefault="00AF1480" w:rsidP="00AF1480">
            <w:pPr>
              <w:rPr>
                <w:lang w:val="en-GB"/>
              </w:rPr>
            </w:pPr>
            <w:r w:rsidRPr="006F151C">
              <w:rPr>
                <w:lang w:val="en-GB"/>
              </w:rPr>
              <w:t>Term</w:t>
            </w:r>
          </w:p>
        </w:tc>
        <w:tc>
          <w:tcPr>
            <w:tcW w:w="6798" w:type="dxa"/>
          </w:tcPr>
          <w:p w14:paraId="67A22944" w14:textId="34A80AAF" w:rsidR="00AF1480" w:rsidRPr="006F151C" w:rsidRDefault="00AF1480" w:rsidP="00AF1480">
            <w:pPr>
              <w:cnfStyle w:val="100000000000" w:firstRow="1" w:lastRow="0" w:firstColumn="0" w:lastColumn="0" w:oddVBand="0" w:evenVBand="0" w:oddHBand="0" w:evenHBand="0" w:firstRowFirstColumn="0" w:firstRowLastColumn="0" w:lastRowFirstColumn="0" w:lastRowLastColumn="0"/>
              <w:rPr>
                <w:lang w:val="en-GB"/>
              </w:rPr>
            </w:pPr>
            <w:r w:rsidRPr="006F151C">
              <w:rPr>
                <w:lang w:val="en-GB"/>
              </w:rPr>
              <w:t>Description</w:t>
            </w:r>
          </w:p>
        </w:tc>
      </w:tr>
      <w:tr w:rsidR="007B014E" w:rsidRPr="006F151C" w14:paraId="3F536AC1"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116A35EC" w14:textId="4614E890" w:rsidR="007B014E" w:rsidRPr="007B014E" w:rsidRDefault="007B014E" w:rsidP="007B014E">
            <w:pPr>
              <w:rPr>
                <w:b w:val="0"/>
                <w:lang w:val="en-GB"/>
              </w:rPr>
            </w:pPr>
            <w:r w:rsidRPr="007B014E">
              <w:rPr>
                <w:b w:val="0"/>
                <w:lang w:val="en-GB"/>
              </w:rPr>
              <w:t>AIM</w:t>
            </w:r>
          </w:p>
        </w:tc>
        <w:tc>
          <w:tcPr>
            <w:tcW w:w="6798" w:type="dxa"/>
          </w:tcPr>
          <w:p w14:paraId="32A35728" w14:textId="212D613F"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Aquaculture Integrated Model</w:t>
            </w:r>
          </w:p>
        </w:tc>
      </w:tr>
      <w:tr w:rsidR="007B014E" w:rsidRPr="006F151C" w14:paraId="2C1D3715"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1A11275E" w14:textId="2AAA3CB4" w:rsidR="007B014E" w:rsidRPr="007B014E" w:rsidRDefault="007B014E" w:rsidP="007B014E">
            <w:pPr>
              <w:rPr>
                <w:b w:val="0"/>
                <w:lang w:val="en-GB"/>
              </w:rPr>
            </w:pPr>
            <w:r w:rsidRPr="007B014E">
              <w:rPr>
                <w:b w:val="0"/>
                <w:lang w:val="en-GB"/>
              </w:rPr>
              <w:t>AZA</w:t>
            </w:r>
          </w:p>
        </w:tc>
        <w:tc>
          <w:tcPr>
            <w:tcW w:w="6798" w:type="dxa"/>
          </w:tcPr>
          <w:p w14:paraId="1F201047" w14:textId="538C8F56"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Allocated Zones for Aquaculture</w:t>
            </w:r>
          </w:p>
        </w:tc>
      </w:tr>
      <w:tr w:rsidR="007B014E" w:rsidRPr="006F151C" w14:paraId="7FA4F241"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1F30E9E9" w14:textId="59469AAF" w:rsidR="007B014E" w:rsidRPr="007B014E" w:rsidRDefault="007B014E" w:rsidP="007B014E">
            <w:pPr>
              <w:rPr>
                <w:b w:val="0"/>
                <w:lang w:val="en-GB"/>
              </w:rPr>
            </w:pPr>
            <w:proofErr w:type="spellStart"/>
            <w:r w:rsidRPr="007B014E">
              <w:rPr>
                <w:b w:val="0"/>
                <w:lang w:val="en-GB"/>
              </w:rPr>
              <w:t>Chl</w:t>
            </w:r>
            <w:proofErr w:type="spellEnd"/>
            <w:r w:rsidRPr="007B014E">
              <w:rPr>
                <w:b w:val="0"/>
                <w:lang w:val="en-GB"/>
              </w:rPr>
              <w:t>-a</w:t>
            </w:r>
          </w:p>
        </w:tc>
        <w:tc>
          <w:tcPr>
            <w:tcW w:w="6798" w:type="dxa"/>
          </w:tcPr>
          <w:p w14:paraId="328A5328" w14:textId="62D729F7"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rFonts w:cs="Arial"/>
                <w:lang w:val="en-GB"/>
              </w:rPr>
              <w:t>Chlorophyll a</w:t>
            </w:r>
          </w:p>
        </w:tc>
      </w:tr>
      <w:tr w:rsidR="007B014E" w:rsidRPr="006F151C" w14:paraId="0603FFE1"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727FAAE7" w14:textId="6E0B8F2A" w:rsidR="007B014E" w:rsidRPr="007B014E" w:rsidRDefault="007B014E" w:rsidP="007B014E">
            <w:pPr>
              <w:rPr>
                <w:b w:val="0"/>
                <w:lang w:val="en-GB"/>
              </w:rPr>
            </w:pPr>
            <w:r w:rsidRPr="007B014E">
              <w:rPr>
                <w:b w:val="0"/>
                <w:lang w:val="en-GB"/>
              </w:rPr>
              <w:t>ERSEM</w:t>
            </w:r>
          </w:p>
        </w:tc>
        <w:tc>
          <w:tcPr>
            <w:tcW w:w="6798" w:type="dxa"/>
          </w:tcPr>
          <w:p w14:paraId="26CC4872" w14:textId="6F17048B"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European Regional Seas Ecosystem Model</w:t>
            </w:r>
          </w:p>
        </w:tc>
      </w:tr>
      <w:tr w:rsidR="007B014E" w:rsidRPr="006F151C" w14:paraId="54F5AD49"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7E33440D" w14:textId="2BC81131" w:rsidR="007B014E" w:rsidRPr="007B014E" w:rsidRDefault="007B014E" w:rsidP="007B014E">
            <w:pPr>
              <w:rPr>
                <w:b w:val="0"/>
                <w:lang w:val="en-GB"/>
              </w:rPr>
            </w:pPr>
            <w:r w:rsidRPr="007B014E">
              <w:rPr>
                <w:b w:val="0"/>
                <w:lang w:val="en-GB"/>
              </w:rPr>
              <w:t>E.I.</w:t>
            </w:r>
          </w:p>
        </w:tc>
        <w:tc>
          <w:tcPr>
            <w:tcW w:w="6798" w:type="dxa"/>
          </w:tcPr>
          <w:p w14:paraId="0FC6B40A" w14:textId="31BA49E7"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rFonts w:cs="Arial"/>
                <w:lang w:val="en-GB"/>
              </w:rPr>
              <w:t>Eutrophication index</w:t>
            </w:r>
          </w:p>
        </w:tc>
      </w:tr>
      <w:tr w:rsidR="007B014E" w:rsidRPr="006F151C" w14:paraId="4B3D7D33"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6F30D7BA" w14:textId="0E0CF4C0" w:rsidR="007B014E" w:rsidRPr="007B014E" w:rsidRDefault="007B014E" w:rsidP="007B014E">
            <w:pPr>
              <w:rPr>
                <w:b w:val="0"/>
                <w:lang w:val="en-GB"/>
              </w:rPr>
            </w:pPr>
            <w:r w:rsidRPr="007B014E">
              <w:rPr>
                <w:b w:val="0"/>
                <w:lang w:val="en-GB"/>
              </w:rPr>
              <w:t>OS</w:t>
            </w:r>
          </w:p>
        </w:tc>
        <w:tc>
          <w:tcPr>
            <w:tcW w:w="6798" w:type="dxa"/>
          </w:tcPr>
          <w:p w14:paraId="3FD0E066" w14:textId="47A81202"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Open Sea</w:t>
            </w:r>
          </w:p>
        </w:tc>
      </w:tr>
      <w:tr w:rsidR="007B014E" w:rsidRPr="006F151C" w14:paraId="7C174873"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048CA3B9" w14:textId="26917616" w:rsidR="007B014E" w:rsidRPr="007B014E" w:rsidRDefault="007B014E" w:rsidP="007B014E">
            <w:pPr>
              <w:rPr>
                <w:b w:val="0"/>
                <w:lang w:val="en-GB"/>
              </w:rPr>
            </w:pPr>
            <w:r w:rsidRPr="007B014E">
              <w:rPr>
                <w:b w:val="0"/>
                <w:lang w:val="en-GB"/>
              </w:rPr>
              <w:t>OSC AZAs</w:t>
            </w:r>
          </w:p>
        </w:tc>
        <w:tc>
          <w:tcPr>
            <w:tcW w:w="6798" w:type="dxa"/>
          </w:tcPr>
          <w:p w14:paraId="2271A017" w14:textId="08359E16"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OS Cypriot allocated zones for aquaculture</w:t>
            </w:r>
          </w:p>
        </w:tc>
      </w:tr>
      <w:tr w:rsidR="007B014E" w:rsidRPr="006F151C" w14:paraId="1AF18443"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6A6BDF1E" w14:textId="38F4E4DD" w:rsidR="007B014E" w:rsidRPr="007B014E" w:rsidRDefault="007B014E" w:rsidP="007B014E">
            <w:pPr>
              <w:rPr>
                <w:b w:val="0"/>
                <w:lang w:val="en-GB"/>
              </w:rPr>
            </w:pPr>
            <w:r w:rsidRPr="007B014E">
              <w:rPr>
                <w:b w:val="0"/>
                <w:lang w:val="en-GB"/>
              </w:rPr>
              <w:t>POC</w:t>
            </w:r>
          </w:p>
        </w:tc>
        <w:tc>
          <w:tcPr>
            <w:tcW w:w="6798" w:type="dxa"/>
          </w:tcPr>
          <w:p w14:paraId="475B7703" w14:textId="6B1EFC9A"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rFonts w:cs="Arial"/>
                <w:lang w:val="en-GB"/>
              </w:rPr>
            </w:pPr>
            <w:r w:rsidRPr="007B014E">
              <w:rPr>
                <w:lang w:val="en-GB"/>
              </w:rPr>
              <w:t>Particulate Organic Carbon</w:t>
            </w:r>
          </w:p>
        </w:tc>
      </w:tr>
      <w:tr w:rsidR="007B014E" w:rsidRPr="006F151C" w14:paraId="43F553D6"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7A57D494" w14:textId="4D94B0DF" w:rsidR="007B014E" w:rsidRPr="007B014E" w:rsidRDefault="007B014E" w:rsidP="007B014E">
            <w:pPr>
              <w:rPr>
                <w:b w:val="0"/>
                <w:lang w:val="en-GB"/>
              </w:rPr>
            </w:pPr>
            <w:r w:rsidRPr="007B014E">
              <w:rPr>
                <w:b w:val="0"/>
                <w:lang w:val="en-GB"/>
              </w:rPr>
              <w:t>PON</w:t>
            </w:r>
          </w:p>
        </w:tc>
        <w:tc>
          <w:tcPr>
            <w:tcW w:w="6798" w:type="dxa"/>
          </w:tcPr>
          <w:p w14:paraId="16833E2F" w14:textId="56FF152C"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Particulate Organic Nitrogen</w:t>
            </w:r>
          </w:p>
        </w:tc>
      </w:tr>
      <w:tr w:rsidR="007B014E" w:rsidRPr="006F151C" w14:paraId="44B28CB5"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745AB4BF" w14:textId="1EF36407" w:rsidR="007B014E" w:rsidRPr="007B014E" w:rsidRDefault="007B014E" w:rsidP="007B014E">
            <w:pPr>
              <w:rPr>
                <w:b w:val="0"/>
                <w:lang w:val="en-GB"/>
              </w:rPr>
            </w:pPr>
            <w:r w:rsidRPr="007B014E">
              <w:rPr>
                <w:b w:val="0"/>
                <w:lang w:val="en-GB"/>
              </w:rPr>
              <w:t>POM</w:t>
            </w:r>
          </w:p>
        </w:tc>
        <w:tc>
          <w:tcPr>
            <w:tcW w:w="6798" w:type="dxa"/>
          </w:tcPr>
          <w:p w14:paraId="56D501CA" w14:textId="13BBF284"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Princeton Ocean Model</w:t>
            </w:r>
          </w:p>
        </w:tc>
      </w:tr>
      <w:tr w:rsidR="007B014E" w:rsidRPr="006F151C" w14:paraId="125E2C78"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589CEEA6" w14:textId="19639C3C" w:rsidR="007B014E" w:rsidRPr="007B014E" w:rsidRDefault="007B014E" w:rsidP="007B014E">
            <w:pPr>
              <w:rPr>
                <w:b w:val="0"/>
                <w:lang w:val="en-GB"/>
              </w:rPr>
            </w:pPr>
            <w:r w:rsidRPr="007B014E">
              <w:rPr>
                <w:b w:val="0"/>
                <w:lang w:val="en-GB"/>
              </w:rPr>
              <w:t>POP</w:t>
            </w:r>
          </w:p>
        </w:tc>
        <w:tc>
          <w:tcPr>
            <w:tcW w:w="6798" w:type="dxa"/>
          </w:tcPr>
          <w:p w14:paraId="177C3085" w14:textId="0A017CB0"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lang w:val="en-GB"/>
              </w:rPr>
              <w:t>Particulate Organic Phosphorus</w:t>
            </w:r>
          </w:p>
        </w:tc>
      </w:tr>
      <w:tr w:rsidR="007B014E" w:rsidRPr="006F151C" w14:paraId="301335F3" w14:textId="77777777" w:rsidTr="00AF1480">
        <w:tc>
          <w:tcPr>
            <w:cnfStyle w:val="001000000000" w:firstRow="0" w:lastRow="0" w:firstColumn="1" w:lastColumn="0" w:oddVBand="0" w:evenVBand="0" w:oddHBand="0" w:evenHBand="0" w:firstRowFirstColumn="0" w:firstRowLastColumn="0" w:lastRowFirstColumn="0" w:lastRowLastColumn="0"/>
            <w:tcW w:w="2263" w:type="dxa"/>
          </w:tcPr>
          <w:p w14:paraId="6A2FF259" w14:textId="3E1328F4" w:rsidR="007B014E" w:rsidRPr="007B014E" w:rsidRDefault="007B014E" w:rsidP="007B014E">
            <w:pPr>
              <w:rPr>
                <w:b w:val="0"/>
                <w:lang w:val="en-GB"/>
              </w:rPr>
            </w:pPr>
            <w:r w:rsidRPr="007B014E">
              <w:rPr>
                <w:b w:val="0"/>
                <w:lang w:val="en-GB"/>
              </w:rPr>
              <w:t>SST</w:t>
            </w:r>
          </w:p>
        </w:tc>
        <w:tc>
          <w:tcPr>
            <w:tcW w:w="6798" w:type="dxa"/>
          </w:tcPr>
          <w:p w14:paraId="4C71428F" w14:textId="0C5E1EFA" w:rsidR="007B014E" w:rsidRPr="007B014E" w:rsidRDefault="007B014E" w:rsidP="007B014E">
            <w:pPr>
              <w:cnfStyle w:val="000000000000" w:firstRow="0" w:lastRow="0" w:firstColumn="0" w:lastColumn="0" w:oddVBand="0" w:evenVBand="0" w:oddHBand="0" w:evenHBand="0" w:firstRowFirstColumn="0" w:firstRowLastColumn="0" w:lastRowFirstColumn="0" w:lastRowLastColumn="0"/>
              <w:rPr>
                <w:lang w:val="en-GB"/>
              </w:rPr>
            </w:pPr>
            <w:r w:rsidRPr="007B014E">
              <w:rPr>
                <w:rFonts w:cs="Arial"/>
                <w:lang w:val="en-GB"/>
              </w:rPr>
              <w:t>Sea surface temperature</w:t>
            </w:r>
          </w:p>
        </w:tc>
      </w:tr>
    </w:tbl>
    <w:p w14:paraId="430D906F" w14:textId="77777777" w:rsidR="00AF1480" w:rsidRPr="006F151C" w:rsidRDefault="00AF1480" w:rsidP="00AF1480">
      <w:pPr>
        <w:rPr>
          <w:lang w:val="en-GB"/>
        </w:rPr>
      </w:pPr>
    </w:p>
    <w:p w14:paraId="7933F7C3" w14:textId="77777777" w:rsidR="00F82FF1" w:rsidRPr="006F151C" w:rsidRDefault="00F82FF1" w:rsidP="00D10EFB">
      <w:pPr>
        <w:pStyle w:val="Heading1"/>
        <w:rPr>
          <w:lang w:val="en-GB"/>
        </w:rPr>
      </w:pPr>
      <w:bookmarkStart w:id="2" w:name="_Toc78796611"/>
      <w:bookmarkStart w:id="3" w:name="_Toc145304812"/>
      <w:r w:rsidRPr="006F151C">
        <w:rPr>
          <w:lang w:val="en-GB"/>
        </w:rPr>
        <w:lastRenderedPageBreak/>
        <w:t>Introduction</w:t>
      </w:r>
      <w:bookmarkEnd w:id="2"/>
      <w:bookmarkEnd w:id="3"/>
      <w:r w:rsidRPr="006F151C">
        <w:rPr>
          <w:lang w:val="en-GB"/>
        </w:rPr>
        <w:t xml:space="preserve"> </w:t>
      </w:r>
    </w:p>
    <w:p w14:paraId="0D795F7B" w14:textId="43FB71C5" w:rsidR="00A2086C" w:rsidRPr="00CD3437" w:rsidRDefault="00A2086C" w:rsidP="00A2086C">
      <w:pPr>
        <w:pStyle w:val="BodyText"/>
        <w:jc w:val="both"/>
        <w:rPr>
          <w:rFonts w:ascii="Arial" w:hAnsi="Arial" w:cs="Arial"/>
        </w:rPr>
      </w:pPr>
      <w:r w:rsidRPr="2452363D">
        <w:rPr>
          <w:rFonts w:ascii="Arial" w:hAnsi="Arial" w:cs="Arial"/>
        </w:rPr>
        <w:t xml:space="preserve">Given that the environmental impact of fish farms depends significantly on the hydrodynamic regime of the wider region as well as on the location and characteristics of units (farmed species, capacity, etc.), within the project “OS-AQUA”, a modelling tool developed by the Hellenic Centre for Marine Research (HCMR) that has been customized and implemented in the Cyprus area to assess the environmental impact of existing and future </w:t>
      </w:r>
      <w:r w:rsidRPr="2452363D">
        <w:rPr>
          <w:rFonts w:ascii="Arial" w:hAnsi="Arial" w:cs="Arial"/>
          <w:b/>
          <w:bCs/>
        </w:rPr>
        <w:t>Open Sea (OS)</w:t>
      </w:r>
      <w:r w:rsidRPr="2452363D">
        <w:rPr>
          <w:rFonts w:ascii="Arial" w:hAnsi="Arial" w:cs="Arial"/>
        </w:rPr>
        <w:t xml:space="preserve"> aquaculture. Th</w:t>
      </w:r>
      <w:r>
        <w:rPr>
          <w:rFonts w:ascii="Arial" w:hAnsi="Arial" w:cs="Arial"/>
        </w:rPr>
        <w:t>e modelling tool</w:t>
      </w:r>
      <w:r w:rsidRPr="2452363D">
        <w:rPr>
          <w:rFonts w:ascii="Arial" w:hAnsi="Arial" w:cs="Arial"/>
        </w:rPr>
        <w:t xml:space="preserve"> is a </w:t>
      </w:r>
      <w:r w:rsidR="00330B55" w:rsidRPr="2452363D">
        <w:rPr>
          <w:rFonts w:ascii="Arial" w:hAnsi="Arial" w:cs="Arial"/>
        </w:rPr>
        <w:t>three</w:t>
      </w:r>
      <w:r w:rsidR="00330B55">
        <w:rPr>
          <w:rFonts w:ascii="Arial" w:hAnsi="Arial" w:cs="Arial"/>
        </w:rPr>
        <w:t>-</w:t>
      </w:r>
      <w:r w:rsidRPr="2452363D">
        <w:rPr>
          <w:rFonts w:ascii="Arial" w:hAnsi="Arial" w:cs="Arial"/>
        </w:rPr>
        <w:t xml:space="preserve">dimensional (3-D) </w:t>
      </w:r>
      <w:r>
        <w:rPr>
          <w:rFonts w:ascii="Arial" w:hAnsi="Arial" w:cs="Arial"/>
        </w:rPr>
        <w:t xml:space="preserve">coupled </w:t>
      </w:r>
      <w:r w:rsidRPr="2452363D">
        <w:rPr>
          <w:rFonts w:ascii="Arial" w:hAnsi="Arial" w:cs="Arial"/>
        </w:rPr>
        <w:t xml:space="preserve">hydrodynamic-biogeochemical model (the </w:t>
      </w:r>
      <w:r w:rsidRPr="2452363D">
        <w:rPr>
          <w:rFonts w:ascii="Arial" w:hAnsi="Arial" w:cs="Arial"/>
          <w:b/>
          <w:bCs/>
        </w:rPr>
        <w:t>A</w:t>
      </w:r>
      <w:r w:rsidRPr="2452363D">
        <w:rPr>
          <w:rFonts w:ascii="Arial" w:hAnsi="Arial" w:cs="Arial"/>
        </w:rPr>
        <w:t xml:space="preserve">quaculture </w:t>
      </w:r>
      <w:r w:rsidRPr="2452363D">
        <w:rPr>
          <w:rFonts w:ascii="Arial" w:hAnsi="Arial" w:cs="Arial"/>
          <w:b/>
          <w:bCs/>
        </w:rPr>
        <w:t>I</w:t>
      </w:r>
      <w:r w:rsidRPr="2452363D">
        <w:rPr>
          <w:rFonts w:ascii="Arial" w:hAnsi="Arial" w:cs="Arial"/>
        </w:rPr>
        <w:t xml:space="preserve">ntegrated </w:t>
      </w:r>
      <w:proofErr w:type="gramStart"/>
      <w:r w:rsidRPr="2452363D">
        <w:rPr>
          <w:rFonts w:ascii="Arial" w:hAnsi="Arial" w:cs="Arial"/>
          <w:b/>
          <w:bCs/>
        </w:rPr>
        <w:t>M</w:t>
      </w:r>
      <w:r w:rsidRPr="2452363D">
        <w:rPr>
          <w:rFonts w:ascii="Arial" w:hAnsi="Arial" w:cs="Arial"/>
        </w:rPr>
        <w:t>odel  -</w:t>
      </w:r>
      <w:proofErr w:type="gramEnd"/>
      <w:r w:rsidRPr="2452363D">
        <w:rPr>
          <w:rFonts w:ascii="Arial" w:hAnsi="Arial" w:cs="Arial"/>
          <w:b/>
          <w:bCs/>
        </w:rPr>
        <w:t>AIM</w:t>
      </w:r>
      <w:r w:rsidRPr="2452363D">
        <w:rPr>
          <w:rFonts w:ascii="Arial" w:hAnsi="Arial" w:cs="Arial"/>
        </w:rPr>
        <w:t xml:space="preserve">, </w:t>
      </w:r>
      <w:proofErr w:type="spellStart"/>
      <w:r w:rsidRPr="2452363D">
        <w:rPr>
          <w:rFonts w:ascii="Arial" w:hAnsi="Arial" w:cs="Arial"/>
        </w:rPr>
        <w:t>Tsagaraki</w:t>
      </w:r>
      <w:proofErr w:type="spellEnd"/>
      <w:r w:rsidRPr="2452363D">
        <w:rPr>
          <w:rFonts w:ascii="Arial" w:hAnsi="Arial" w:cs="Arial"/>
        </w:rPr>
        <w:t xml:space="preserve"> et al., 2011</w:t>
      </w:r>
      <w:r>
        <w:rPr>
          <w:rFonts w:ascii="Arial" w:hAnsi="Arial" w:cs="Arial"/>
        </w:rPr>
        <w:t>; Tsiaras et al., 2022</w:t>
      </w:r>
      <w:r w:rsidRPr="2452363D">
        <w:rPr>
          <w:rFonts w:ascii="Arial" w:hAnsi="Arial" w:cs="Arial"/>
        </w:rPr>
        <w:t>)</w:t>
      </w:r>
      <w:r>
        <w:rPr>
          <w:rFonts w:ascii="Arial" w:hAnsi="Arial" w:cs="Arial"/>
        </w:rPr>
        <w:t>.</w:t>
      </w:r>
      <w:r w:rsidRPr="2452363D">
        <w:rPr>
          <w:rFonts w:ascii="Arial" w:hAnsi="Arial" w:cs="Arial"/>
        </w:rPr>
        <w:t xml:space="preserve"> AIM can be used to simulate the effect of aquaculture wastes from potential</w:t>
      </w:r>
      <w:r w:rsidR="00330B55">
        <w:rPr>
          <w:rFonts w:ascii="Arial" w:hAnsi="Arial" w:cs="Arial"/>
        </w:rPr>
        <w:t>ly</w:t>
      </w:r>
      <w:r w:rsidRPr="2452363D">
        <w:rPr>
          <w:rFonts w:ascii="Arial" w:hAnsi="Arial" w:cs="Arial"/>
        </w:rPr>
        <w:t xml:space="preserve"> </w:t>
      </w:r>
      <w:r w:rsidRPr="2452363D">
        <w:rPr>
          <w:rFonts w:ascii="Arial" w:hAnsi="Arial" w:cs="Arial"/>
          <w:b/>
          <w:bCs/>
        </w:rPr>
        <w:t>Allocated Zones for Aquaculture (AZA)</w:t>
      </w:r>
      <w:r w:rsidRPr="2452363D">
        <w:rPr>
          <w:rFonts w:ascii="Arial" w:hAnsi="Arial" w:cs="Arial"/>
        </w:rPr>
        <w:t xml:space="preserve"> in Cyprus where either multiple cage farms are deployed and operate</w:t>
      </w:r>
      <w:r w:rsidR="00330B55">
        <w:rPr>
          <w:rFonts w:ascii="Arial" w:hAnsi="Arial" w:cs="Arial"/>
        </w:rPr>
        <w:t>d</w:t>
      </w:r>
      <w:r w:rsidRPr="2452363D">
        <w:rPr>
          <w:rFonts w:ascii="Arial" w:hAnsi="Arial" w:cs="Arial"/>
        </w:rPr>
        <w:t xml:space="preserve"> or in individual cage farms (point sources) (see D10 “Development of an environmental assessment model for ecosystem and oceanographic modelling for site selection”</w:t>
      </w:r>
      <w:r>
        <w:rPr>
          <w:rFonts w:ascii="Arial" w:hAnsi="Arial" w:cs="Arial"/>
        </w:rPr>
        <w:t xml:space="preserve"> and D11 </w:t>
      </w:r>
      <w:r w:rsidRPr="00B245DF">
        <w:rPr>
          <w:rFonts w:ascii="Arial" w:hAnsi="Arial" w:cs="Arial"/>
        </w:rPr>
        <w:t>“Identification of sites with less sensitive/important/rare habitats where the impact of the aquaculture at the environment can be minimized”</w:t>
      </w:r>
      <w:r w:rsidRPr="2452363D">
        <w:rPr>
          <w:rFonts w:ascii="Arial" w:hAnsi="Arial" w:cs="Arial"/>
        </w:rPr>
        <w:t>). In this approach, a series of nested models is used to consistently downscale the hydrodynamics and biogeochemistry from the coarse resolution (~few kilometres) model of the Mediterranean to an intermediate model (</w:t>
      </w:r>
      <w:r w:rsidR="00330B55">
        <w:rPr>
          <w:rFonts w:ascii="Arial" w:hAnsi="Arial" w:cs="Arial"/>
        </w:rPr>
        <w:t xml:space="preserve">a </w:t>
      </w:r>
      <w:r w:rsidRPr="2452363D">
        <w:rPr>
          <w:rFonts w:ascii="Arial" w:hAnsi="Arial" w:cs="Arial"/>
        </w:rPr>
        <w:t>few hundred meter</w:t>
      </w:r>
      <w:r w:rsidR="00330B55">
        <w:rPr>
          <w:rFonts w:ascii="Arial" w:hAnsi="Arial" w:cs="Arial"/>
        </w:rPr>
        <w:t>s</w:t>
      </w:r>
      <w:r w:rsidRPr="2452363D">
        <w:rPr>
          <w:rFonts w:ascii="Arial" w:hAnsi="Arial" w:cs="Arial"/>
        </w:rPr>
        <w:t xml:space="preserve">) of the area south of Cyprus to the </w:t>
      </w:r>
      <w:r w:rsidR="00330B55" w:rsidRPr="2452363D">
        <w:rPr>
          <w:rFonts w:ascii="Arial" w:hAnsi="Arial" w:cs="Arial"/>
        </w:rPr>
        <w:t>high</w:t>
      </w:r>
      <w:r w:rsidR="00330B55">
        <w:rPr>
          <w:rFonts w:ascii="Arial" w:hAnsi="Arial" w:cs="Arial"/>
        </w:rPr>
        <w:t>-</w:t>
      </w:r>
      <w:r w:rsidRPr="2452363D">
        <w:rPr>
          <w:rFonts w:ascii="Arial" w:hAnsi="Arial" w:cs="Arial"/>
        </w:rPr>
        <w:t xml:space="preserve">resolution model (~few tens of meters) of the fish farm areas. The amount of nutrients entering the environment from the fish cages is calculated using a mass balance approach (see D10 for details). The model produces maps of </w:t>
      </w:r>
      <w:r w:rsidR="00330B55" w:rsidRPr="2452363D">
        <w:rPr>
          <w:rFonts w:ascii="Arial" w:hAnsi="Arial" w:cs="Arial"/>
        </w:rPr>
        <w:t>near</w:t>
      </w:r>
      <w:r w:rsidR="00330B55">
        <w:rPr>
          <w:rFonts w:ascii="Arial" w:hAnsi="Arial" w:cs="Arial"/>
        </w:rPr>
        <w:t>-</w:t>
      </w:r>
      <w:r w:rsidRPr="2452363D">
        <w:rPr>
          <w:rFonts w:ascii="Arial" w:hAnsi="Arial" w:cs="Arial"/>
        </w:rPr>
        <w:t xml:space="preserve">surface currents, </w:t>
      </w:r>
      <w:proofErr w:type="spellStart"/>
      <w:r w:rsidRPr="2452363D">
        <w:rPr>
          <w:rFonts w:ascii="Arial" w:hAnsi="Arial" w:cs="Arial"/>
        </w:rPr>
        <w:t>Chl</w:t>
      </w:r>
      <w:proofErr w:type="spellEnd"/>
      <w:r w:rsidRPr="2452363D">
        <w:rPr>
          <w:rFonts w:ascii="Arial" w:hAnsi="Arial" w:cs="Arial"/>
        </w:rPr>
        <w:t>-a, dissolved inorganic nutrients (NH</w:t>
      </w:r>
      <w:r w:rsidRPr="2452363D">
        <w:rPr>
          <w:rFonts w:ascii="Arial" w:hAnsi="Arial" w:cs="Arial"/>
          <w:vertAlign w:val="subscript"/>
        </w:rPr>
        <w:t>4</w:t>
      </w:r>
      <w:r w:rsidRPr="2452363D">
        <w:rPr>
          <w:rFonts w:ascii="Arial" w:hAnsi="Arial" w:cs="Arial"/>
        </w:rPr>
        <w:t>, PO</w:t>
      </w:r>
      <w:r w:rsidRPr="2452363D">
        <w:rPr>
          <w:rFonts w:ascii="Arial" w:hAnsi="Arial" w:cs="Arial"/>
          <w:vertAlign w:val="subscript"/>
        </w:rPr>
        <w:t>4</w:t>
      </w:r>
      <w:r w:rsidRPr="2452363D">
        <w:rPr>
          <w:rFonts w:ascii="Arial" w:hAnsi="Arial" w:cs="Arial"/>
        </w:rPr>
        <w:t xml:space="preserve"> and particulate POC, PON, POP), plankton biomass and production that can be </w:t>
      </w:r>
      <w:r w:rsidRPr="00CD3437">
        <w:rPr>
          <w:rFonts w:ascii="Arial" w:hAnsi="Arial" w:cs="Arial"/>
        </w:rPr>
        <w:t xml:space="preserve">used to calculate different indicators describing the environmental status in the area, providing a tool for the sustainable management of the future OS Cypriot </w:t>
      </w:r>
      <w:r w:rsidRPr="00CD3437">
        <w:rPr>
          <w:rFonts w:ascii="Arial" w:hAnsi="Arial" w:cs="Arial"/>
          <w:lang w:eastAsia="en-GB"/>
        </w:rPr>
        <w:t xml:space="preserve">allocated zones for aquaculture </w:t>
      </w:r>
      <w:r w:rsidRPr="00CD3437">
        <w:rPr>
          <w:rFonts w:ascii="Arial" w:hAnsi="Arial" w:cs="Arial"/>
          <w:b/>
          <w:bCs/>
          <w:lang w:eastAsia="en-GB"/>
        </w:rPr>
        <w:t>(OSC AZAs)</w:t>
      </w:r>
      <w:r w:rsidRPr="00CD3437">
        <w:rPr>
          <w:rFonts w:ascii="Arial" w:hAnsi="Arial" w:cs="Arial"/>
        </w:rPr>
        <w:t xml:space="preserve">. </w:t>
      </w:r>
    </w:p>
    <w:p w14:paraId="745D5F47" w14:textId="4A5C05EF" w:rsidR="00976D7C" w:rsidRDefault="00A2086C" w:rsidP="00A2086C">
      <w:pPr>
        <w:rPr>
          <w:rFonts w:cs="Arial"/>
          <w:szCs w:val="24"/>
        </w:rPr>
      </w:pPr>
      <w:r w:rsidRPr="00B021A8">
        <w:rPr>
          <w:rFonts w:cs="Arial"/>
          <w:szCs w:val="24"/>
        </w:rPr>
        <w:t xml:space="preserve">A detailed data collection for marine spatial planning in WP4, revealed sites of potential interest for </w:t>
      </w:r>
      <w:r w:rsidRPr="00B021A8">
        <w:rPr>
          <w:rFonts w:cs="Arial"/>
          <w:b/>
          <w:bCs/>
          <w:szCs w:val="24"/>
        </w:rPr>
        <w:t>Open Sea (OS)</w:t>
      </w:r>
      <w:r w:rsidRPr="00B021A8">
        <w:rPr>
          <w:rFonts w:cs="Arial"/>
          <w:szCs w:val="24"/>
        </w:rPr>
        <w:t xml:space="preserve"> Aquaculture </w:t>
      </w:r>
      <w:r w:rsidRPr="00D726EE">
        <w:rPr>
          <w:rFonts w:cs="Arial"/>
          <w:szCs w:val="24"/>
        </w:rPr>
        <w:t>(see D1</w:t>
      </w:r>
      <w:r w:rsidR="00E7711F" w:rsidRPr="00D726EE">
        <w:rPr>
          <w:rFonts w:cs="Arial"/>
          <w:szCs w:val="24"/>
        </w:rPr>
        <w:t>3</w:t>
      </w:r>
      <w:r w:rsidRPr="00D726EE">
        <w:rPr>
          <w:rFonts w:cs="Arial"/>
          <w:szCs w:val="24"/>
        </w:rPr>
        <w:t>), ind</w:t>
      </w:r>
      <w:r w:rsidRPr="00B021A8">
        <w:rPr>
          <w:rFonts w:cs="Arial"/>
          <w:szCs w:val="24"/>
        </w:rPr>
        <w:t xml:space="preserve">icating areas with no direct conflicts with existing manmade operations and sufficient distance from sensitive/important/rare habitats. </w:t>
      </w:r>
      <w:r w:rsidRPr="00CD3437">
        <w:rPr>
          <w:rFonts w:cs="Arial"/>
          <w:szCs w:val="24"/>
        </w:rPr>
        <w:t xml:space="preserve">Four open sea areas (OSA’s) have been selected as potential OS AZAs for the modelling work </w:t>
      </w:r>
      <w:r w:rsidR="00976D7C">
        <w:rPr>
          <w:rFonts w:cs="Arial"/>
          <w:szCs w:val="24"/>
        </w:rPr>
        <w:t xml:space="preserve">(see also Table 1) </w:t>
      </w:r>
      <w:r w:rsidRPr="00CD3437">
        <w:rPr>
          <w:rFonts w:cs="Arial"/>
          <w:szCs w:val="24"/>
        </w:rPr>
        <w:t>at</w:t>
      </w:r>
      <w:r w:rsidR="00976D7C">
        <w:rPr>
          <w:rFonts w:cs="Arial"/>
          <w:szCs w:val="24"/>
        </w:rPr>
        <w:t>:</w:t>
      </w:r>
    </w:p>
    <w:p w14:paraId="6E3CA7D6" w14:textId="57B59CA8" w:rsidR="00976D7C" w:rsidRPr="00976D7C" w:rsidRDefault="00A2086C" w:rsidP="00EE2A65">
      <w:pPr>
        <w:pStyle w:val="ListParagraph"/>
        <w:numPr>
          <w:ilvl w:val="0"/>
          <w:numId w:val="41"/>
        </w:numPr>
        <w:rPr>
          <w:rFonts w:cs="Arial"/>
          <w:szCs w:val="24"/>
          <w:lang w:val="en-GB"/>
        </w:rPr>
      </w:pPr>
      <w:r w:rsidRPr="00976D7C">
        <w:rPr>
          <w:rFonts w:cs="Arial"/>
          <w:szCs w:val="24"/>
        </w:rPr>
        <w:t>Xylofagou</w:t>
      </w:r>
      <w:r w:rsidR="0013628B" w:rsidRPr="00976D7C">
        <w:rPr>
          <w:rFonts w:cs="Arial"/>
          <w:szCs w:val="24"/>
        </w:rPr>
        <w:t xml:space="preserve"> West</w:t>
      </w:r>
      <w:r w:rsidR="00976D7C" w:rsidRPr="00976D7C">
        <w:rPr>
          <w:rFonts w:cs="Arial"/>
          <w:szCs w:val="24"/>
        </w:rPr>
        <w:t xml:space="preserve">, </w:t>
      </w:r>
      <w:r w:rsidRPr="00976D7C">
        <w:rPr>
          <w:rFonts w:cs="Arial"/>
          <w:szCs w:val="24"/>
        </w:rPr>
        <w:t>Larnaca</w:t>
      </w:r>
      <w:r w:rsidR="00976D7C" w:rsidRPr="00976D7C">
        <w:rPr>
          <w:rFonts w:cs="Arial"/>
          <w:szCs w:val="24"/>
        </w:rPr>
        <w:t xml:space="preserve"> and</w:t>
      </w:r>
      <w:r w:rsidR="00976D7C">
        <w:rPr>
          <w:rFonts w:cs="Arial"/>
          <w:szCs w:val="24"/>
        </w:rPr>
        <w:t xml:space="preserve"> </w:t>
      </w:r>
      <w:r w:rsidRPr="00976D7C">
        <w:rPr>
          <w:rFonts w:cs="Arial"/>
          <w:szCs w:val="24"/>
        </w:rPr>
        <w:t xml:space="preserve">Governor’s Beach </w:t>
      </w:r>
      <w:r w:rsidR="00976D7C" w:rsidRPr="00976D7C">
        <w:rPr>
          <w:rFonts w:cs="Arial"/>
          <w:szCs w:val="24"/>
        </w:rPr>
        <w:t>(</w:t>
      </w:r>
      <w:r w:rsidRPr="00976D7C">
        <w:rPr>
          <w:rFonts w:cs="Arial"/>
          <w:szCs w:val="24"/>
        </w:rPr>
        <w:t>South of Cyprus</w:t>
      </w:r>
      <w:r w:rsidR="00976D7C" w:rsidRPr="00976D7C">
        <w:rPr>
          <w:rFonts w:cs="Arial"/>
          <w:szCs w:val="24"/>
        </w:rPr>
        <w:t>)</w:t>
      </w:r>
      <w:r w:rsidRPr="00976D7C">
        <w:rPr>
          <w:rFonts w:cs="Arial"/>
          <w:szCs w:val="24"/>
        </w:rPr>
        <w:t xml:space="preserve"> and </w:t>
      </w:r>
    </w:p>
    <w:p w14:paraId="18680898" w14:textId="084E9D1D" w:rsidR="00976D7C" w:rsidRPr="00976D7C" w:rsidRDefault="00A2086C" w:rsidP="00976D7C">
      <w:pPr>
        <w:pStyle w:val="ListParagraph"/>
        <w:numPr>
          <w:ilvl w:val="0"/>
          <w:numId w:val="41"/>
        </w:numPr>
        <w:rPr>
          <w:rFonts w:cs="Arial"/>
          <w:szCs w:val="24"/>
          <w:lang w:val="en-GB"/>
        </w:rPr>
      </w:pPr>
      <w:r w:rsidRPr="00976D7C">
        <w:rPr>
          <w:rFonts w:cs="Arial"/>
          <w:szCs w:val="24"/>
        </w:rPr>
        <w:t xml:space="preserve">Aphrodite Hills in </w:t>
      </w:r>
      <w:r w:rsidR="00976D7C">
        <w:rPr>
          <w:rFonts w:cs="Arial"/>
          <w:szCs w:val="24"/>
        </w:rPr>
        <w:t>S</w:t>
      </w:r>
      <w:r w:rsidRPr="00976D7C">
        <w:rPr>
          <w:rFonts w:cs="Arial"/>
          <w:szCs w:val="24"/>
        </w:rPr>
        <w:t xml:space="preserve">outhwest Cyprus. </w:t>
      </w:r>
    </w:p>
    <w:p w14:paraId="04509C66" w14:textId="14C72B37" w:rsidR="00A2086C" w:rsidRDefault="00A2086C" w:rsidP="00976D7C">
      <w:pPr>
        <w:rPr>
          <w:rFonts w:cs="Arial"/>
          <w:szCs w:val="24"/>
          <w:lang w:val="en-GB"/>
        </w:rPr>
      </w:pPr>
      <w:r w:rsidRPr="00976D7C">
        <w:rPr>
          <w:rFonts w:cs="Arial"/>
          <w:szCs w:val="24"/>
        </w:rPr>
        <w:t>Preliminary simulations with</w:t>
      </w:r>
      <w:r w:rsidR="00976D7C">
        <w:rPr>
          <w:rFonts w:cs="Arial"/>
          <w:szCs w:val="24"/>
        </w:rPr>
        <w:t xml:space="preserve"> the</w:t>
      </w:r>
      <w:r w:rsidRPr="00976D7C">
        <w:rPr>
          <w:rFonts w:cs="Arial"/>
          <w:szCs w:val="24"/>
        </w:rPr>
        <w:t xml:space="preserve"> AIM model </w:t>
      </w:r>
      <w:r w:rsidRPr="00976D7C">
        <w:rPr>
          <w:rFonts w:cs="Arial"/>
          <w:szCs w:val="24"/>
          <w:lang w:val="en-GB"/>
        </w:rPr>
        <w:t>in D11</w:t>
      </w:r>
      <w:r w:rsidR="00976D7C">
        <w:rPr>
          <w:rFonts w:cs="Arial"/>
          <w:szCs w:val="24"/>
          <w:lang w:val="en-GB"/>
        </w:rPr>
        <w:t>,</w:t>
      </w:r>
      <w:r w:rsidRPr="00976D7C">
        <w:rPr>
          <w:rFonts w:cs="Arial"/>
          <w:szCs w:val="24"/>
          <w:lang w:val="en-GB"/>
        </w:rPr>
        <w:t xml:space="preserve"> revealed that the addition of OS Aqua farms will have limited environmental impact on the coastal zone in the </w:t>
      </w:r>
      <w:r w:rsidRPr="00976D7C">
        <w:rPr>
          <w:rFonts w:cs="Arial"/>
          <w:szCs w:val="24"/>
        </w:rPr>
        <w:t xml:space="preserve">Aphrodite’s Hills and Governor’s beach areas. A slightly stronger (moderate) impact was simulated for Larnaca and Xylofagou areas during spring, </w:t>
      </w:r>
      <w:r w:rsidR="00330B55">
        <w:rPr>
          <w:rFonts w:cs="Arial"/>
          <w:szCs w:val="24"/>
        </w:rPr>
        <w:t>combining</w:t>
      </w:r>
      <w:r w:rsidRPr="00976D7C">
        <w:rPr>
          <w:rFonts w:cs="Arial"/>
          <w:szCs w:val="24"/>
        </w:rPr>
        <w:t xml:space="preserve"> 3,000 tonnes in Larnaca and 5,000 tonnes in Xylofagou</w:t>
      </w:r>
      <w:r w:rsidRPr="00976D7C">
        <w:rPr>
          <w:rFonts w:cs="Arial"/>
          <w:szCs w:val="24"/>
          <w:lang w:val="en-GB"/>
        </w:rPr>
        <w:t xml:space="preserve">. In this deliverable, additional simulations were performed for all areas to quantify the uncertainty in the simulated impact, based on the inter-annual variability in ocean circulation. Moreover, simulations with a finer model resolution (~100m) were performed in </w:t>
      </w:r>
      <w:r w:rsidRPr="00976D7C">
        <w:rPr>
          <w:rFonts w:cs="Arial"/>
          <w:szCs w:val="24"/>
        </w:rPr>
        <w:t xml:space="preserve">Governor’s </w:t>
      </w:r>
      <w:r w:rsidR="00330B55">
        <w:rPr>
          <w:rFonts w:cs="Arial"/>
          <w:szCs w:val="24"/>
        </w:rPr>
        <w:t>B</w:t>
      </w:r>
      <w:r w:rsidR="00330B55" w:rsidRPr="00976D7C">
        <w:rPr>
          <w:rFonts w:cs="Arial"/>
          <w:szCs w:val="24"/>
        </w:rPr>
        <w:t xml:space="preserve">each </w:t>
      </w:r>
      <w:r w:rsidRPr="00976D7C">
        <w:rPr>
          <w:rFonts w:cs="Arial"/>
          <w:szCs w:val="24"/>
        </w:rPr>
        <w:t xml:space="preserve">and </w:t>
      </w:r>
      <w:proofErr w:type="spellStart"/>
      <w:r w:rsidRPr="00976D7C">
        <w:rPr>
          <w:rFonts w:cs="Arial"/>
          <w:szCs w:val="24"/>
        </w:rPr>
        <w:t>Xylofagou</w:t>
      </w:r>
      <w:proofErr w:type="spellEnd"/>
      <w:r w:rsidRPr="00976D7C">
        <w:rPr>
          <w:rFonts w:cs="Arial"/>
          <w:szCs w:val="24"/>
        </w:rPr>
        <w:t>/</w:t>
      </w:r>
      <w:proofErr w:type="spellStart"/>
      <w:r w:rsidRPr="00976D7C">
        <w:rPr>
          <w:rFonts w:cs="Arial"/>
          <w:szCs w:val="24"/>
        </w:rPr>
        <w:t>Larnaka</w:t>
      </w:r>
      <w:proofErr w:type="spellEnd"/>
      <w:r w:rsidRPr="00976D7C">
        <w:rPr>
          <w:rFonts w:cs="Arial"/>
          <w:szCs w:val="24"/>
        </w:rPr>
        <w:t xml:space="preserve"> areas to</w:t>
      </w:r>
      <w:r w:rsidRPr="00976D7C">
        <w:rPr>
          <w:rFonts w:cs="Arial"/>
          <w:szCs w:val="24"/>
          <w:lang w:val="en-GB"/>
        </w:rPr>
        <w:t xml:space="preserve"> more accurately describe the OS Aqua farms</w:t>
      </w:r>
      <w:r w:rsidR="00330B55">
        <w:rPr>
          <w:rFonts w:cs="Arial"/>
          <w:szCs w:val="24"/>
          <w:lang w:val="en-GB"/>
        </w:rPr>
        <w:t>'</w:t>
      </w:r>
      <w:r w:rsidRPr="00976D7C">
        <w:rPr>
          <w:rFonts w:cs="Arial"/>
          <w:szCs w:val="24"/>
          <w:lang w:val="en-GB"/>
        </w:rPr>
        <w:t xml:space="preserve"> </w:t>
      </w:r>
      <w:r w:rsidRPr="00976D7C">
        <w:rPr>
          <w:rFonts w:cs="Arial"/>
          <w:szCs w:val="24"/>
          <w:lang w:val="en-GB"/>
        </w:rPr>
        <w:lastRenderedPageBreak/>
        <w:t xml:space="preserve">environmental impact on a local scale. Given the very high computational cost of the fine model simulations and the very limited environmental impact of OS Aqua farms in the more exposed </w:t>
      </w:r>
      <w:r w:rsidRPr="00976D7C">
        <w:rPr>
          <w:rFonts w:cs="Arial"/>
          <w:szCs w:val="24"/>
        </w:rPr>
        <w:t>Aphrodite’s Hills, this area was excluded from the fine-resolution analysis.</w:t>
      </w:r>
      <w:r w:rsidRPr="00976D7C">
        <w:rPr>
          <w:rFonts w:cs="Arial"/>
          <w:szCs w:val="24"/>
          <w:lang w:val="en-GB"/>
        </w:rPr>
        <w:t xml:space="preserve">  </w:t>
      </w:r>
    </w:p>
    <w:p w14:paraId="5079D01D" w14:textId="11817E4F" w:rsidR="00976D7C" w:rsidRPr="006F151C" w:rsidRDefault="00976D7C" w:rsidP="00976D7C">
      <w:pPr>
        <w:pStyle w:val="BodyText"/>
        <w:jc w:val="both"/>
        <w:rPr>
          <w:rFonts w:ascii="Arial" w:hAnsi="Arial" w:cs="Arial"/>
        </w:rPr>
      </w:pPr>
      <w:r w:rsidRPr="006F151C">
        <w:rPr>
          <w:rFonts w:ascii="Arial" w:hAnsi="Arial" w:cs="Arial"/>
        </w:rPr>
        <w:t xml:space="preserve">Table </w:t>
      </w:r>
      <w:r>
        <w:rPr>
          <w:rFonts w:ascii="Arial" w:hAnsi="Arial" w:cs="Arial"/>
        </w:rPr>
        <w:t>1</w:t>
      </w:r>
      <w:r w:rsidRPr="006F151C">
        <w:rPr>
          <w:rFonts w:ascii="Arial" w:hAnsi="Arial" w:cs="Arial"/>
        </w:rPr>
        <w:t xml:space="preserve"> summarise</w:t>
      </w:r>
      <w:r w:rsidR="00330B55">
        <w:rPr>
          <w:rFonts w:ascii="Arial" w:hAnsi="Arial" w:cs="Arial"/>
        </w:rPr>
        <w:t>s</w:t>
      </w:r>
      <w:r w:rsidRPr="006F151C">
        <w:rPr>
          <w:rFonts w:ascii="Arial" w:hAnsi="Arial" w:cs="Arial"/>
        </w:rPr>
        <w:t xml:space="preserve"> 33 combinations of OS areas, technologies, cages/structures needed in order to produce 2, 3 or 5 thousand tonnes per year of native Mediterranean marine species and the theoretical marine space that is needed for the cages and for the mooring system</w:t>
      </w:r>
      <w:r w:rsidR="00C513EC">
        <w:rPr>
          <w:rFonts w:ascii="Arial" w:hAnsi="Arial" w:cs="Arial"/>
        </w:rPr>
        <w:t xml:space="preserve"> (for details, see D11)</w:t>
      </w:r>
      <w:r w:rsidRPr="006F151C">
        <w:rPr>
          <w:rFonts w:ascii="Arial" w:hAnsi="Arial" w:cs="Arial"/>
        </w:rPr>
        <w:t>.</w:t>
      </w:r>
    </w:p>
    <w:p w14:paraId="45091783" w14:textId="77777777" w:rsidR="00976D7C" w:rsidRPr="00976D7C" w:rsidRDefault="00976D7C" w:rsidP="00976D7C">
      <w:pPr>
        <w:rPr>
          <w:rFonts w:cs="Arial"/>
          <w:szCs w:val="24"/>
          <w:lang w:val="en-GB"/>
        </w:rPr>
      </w:pPr>
    </w:p>
    <w:p w14:paraId="17CD2752" w14:textId="7569AD01" w:rsidR="00976D7C" w:rsidRPr="006F151C" w:rsidRDefault="00976D7C" w:rsidP="00976D7C">
      <w:pPr>
        <w:pStyle w:val="Caption"/>
        <w:rPr>
          <w:rFonts w:cs="Arial"/>
          <w:lang w:val="en-GB"/>
        </w:rPr>
      </w:pPr>
      <w:bookmarkStart w:id="4" w:name="_Ref89289300"/>
      <w:bookmarkStart w:id="5" w:name="_Toc83811944"/>
      <w:bookmarkStart w:id="6" w:name="_Toc91129035"/>
      <w:bookmarkStart w:id="7" w:name="_Toc144800607"/>
      <w:r w:rsidRPr="006F151C">
        <w:rPr>
          <w:lang w:val="en-GB"/>
        </w:rPr>
        <w:t xml:space="preserve">Table </w:t>
      </w:r>
      <w:r w:rsidRPr="006F151C">
        <w:rPr>
          <w:noProof/>
          <w:lang w:val="en-GB"/>
        </w:rPr>
        <w:fldChar w:fldCharType="begin"/>
      </w:r>
      <w:r w:rsidRPr="006F151C">
        <w:rPr>
          <w:noProof/>
          <w:lang w:val="en-GB"/>
        </w:rPr>
        <w:instrText xml:space="preserve"> SEQ Table \* ARABIC </w:instrText>
      </w:r>
      <w:r w:rsidRPr="006F151C">
        <w:rPr>
          <w:noProof/>
          <w:lang w:val="en-GB"/>
        </w:rPr>
        <w:fldChar w:fldCharType="separate"/>
      </w:r>
      <w:r>
        <w:rPr>
          <w:noProof/>
          <w:lang w:val="en-GB"/>
        </w:rPr>
        <w:t>1</w:t>
      </w:r>
      <w:r w:rsidRPr="006F151C">
        <w:rPr>
          <w:noProof/>
          <w:lang w:val="en-GB"/>
        </w:rPr>
        <w:fldChar w:fldCharType="end"/>
      </w:r>
      <w:bookmarkEnd w:id="4"/>
      <w:r w:rsidRPr="006F151C">
        <w:rPr>
          <w:lang w:val="en-GB"/>
        </w:rPr>
        <w:t xml:space="preserve">. OS Areas, technologies and annual open sea farm capacity </w:t>
      </w:r>
      <w:r w:rsidR="00330B55">
        <w:rPr>
          <w:lang w:val="en-GB"/>
        </w:rPr>
        <w:t xml:space="preserve">were </w:t>
      </w:r>
      <w:r w:rsidRPr="006F151C">
        <w:rPr>
          <w:lang w:val="en-GB"/>
        </w:rPr>
        <w:t>tested in the model runs.</w:t>
      </w:r>
      <w:bookmarkEnd w:id="5"/>
      <w:bookmarkEnd w:id="6"/>
      <w:bookmarkEnd w:id="7"/>
    </w:p>
    <w:tbl>
      <w:tblPr>
        <w:tblStyle w:val="TableGrid"/>
        <w:tblW w:w="0" w:type="auto"/>
        <w:tblLook w:val="04A0" w:firstRow="1" w:lastRow="0" w:firstColumn="1" w:lastColumn="0" w:noHBand="0" w:noVBand="1"/>
      </w:tblPr>
      <w:tblGrid>
        <w:gridCol w:w="2405"/>
        <w:gridCol w:w="1571"/>
        <w:gridCol w:w="1364"/>
        <w:gridCol w:w="1176"/>
        <w:gridCol w:w="1272"/>
        <w:gridCol w:w="1273"/>
      </w:tblGrid>
      <w:tr w:rsidR="00976D7C" w:rsidRPr="006F151C" w14:paraId="0DA3F7A9" w14:textId="77777777" w:rsidTr="00EE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Borders>
              <w:bottom w:val="single" w:sz="4" w:space="0" w:color="auto"/>
            </w:tcBorders>
          </w:tcPr>
          <w:p w14:paraId="346A28A4"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OS Area and average depth</w:t>
            </w:r>
          </w:p>
        </w:tc>
        <w:tc>
          <w:tcPr>
            <w:tcW w:w="1571" w:type="dxa"/>
            <w:tcBorders>
              <w:bottom w:val="single" w:sz="4" w:space="0" w:color="auto"/>
            </w:tcBorders>
          </w:tcPr>
          <w:p w14:paraId="67A5E9BA" w14:textId="77777777" w:rsidR="00976D7C" w:rsidRPr="006F151C" w:rsidRDefault="00976D7C" w:rsidP="00EE2A65">
            <w:pPr>
              <w:pStyle w:val="BodyText"/>
              <w:spacing w:after="0" w:line="24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Technology</w:t>
            </w:r>
          </w:p>
        </w:tc>
        <w:tc>
          <w:tcPr>
            <w:tcW w:w="1364" w:type="dxa"/>
            <w:tcBorders>
              <w:bottom w:val="single" w:sz="4" w:space="0" w:color="auto"/>
            </w:tcBorders>
          </w:tcPr>
          <w:p w14:paraId="63046FB7" w14:textId="77777777" w:rsidR="00976D7C" w:rsidRPr="006F151C" w:rsidRDefault="00976D7C" w:rsidP="00EE2A6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Annual OS farm capacity (tonnes)</w:t>
            </w:r>
          </w:p>
        </w:tc>
        <w:tc>
          <w:tcPr>
            <w:tcW w:w="1176" w:type="dxa"/>
            <w:tcBorders>
              <w:bottom w:val="single" w:sz="4" w:space="0" w:color="auto"/>
            </w:tcBorders>
          </w:tcPr>
          <w:p w14:paraId="3C3EB5F1" w14:textId="77777777" w:rsidR="00976D7C" w:rsidRPr="006F151C" w:rsidRDefault="00976D7C" w:rsidP="00EE2A6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Cages needed</w:t>
            </w:r>
          </w:p>
        </w:tc>
        <w:tc>
          <w:tcPr>
            <w:tcW w:w="1272" w:type="dxa"/>
            <w:tcBorders>
              <w:bottom w:val="single" w:sz="4" w:space="0" w:color="auto"/>
            </w:tcBorders>
          </w:tcPr>
          <w:p w14:paraId="4CD6BF0F" w14:textId="77777777" w:rsidR="00976D7C" w:rsidRPr="006F151C" w:rsidRDefault="00976D7C" w:rsidP="00EE2A6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Marine space needed for the cages (Km</w:t>
            </w:r>
            <w:r w:rsidRPr="006F151C">
              <w:rPr>
                <w:rFonts w:ascii="Arial" w:hAnsi="Arial" w:cs="Arial"/>
                <w:vertAlign w:val="superscript"/>
              </w:rPr>
              <w:t>2</w:t>
            </w:r>
            <w:r w:rsidRPr="006F151C">
              <w:rPr>
                <w:rFonts w:ascii="Arial" w:hAnsi="Arial" w:cs="Arial"/>
              </w:rPr>
              <w:t>)</w:t>
            </w:r>
          </w:p>
        </w:tc>
        <w:tc>
          <w:tcPr>
            <w:tcW w:w="1273" w:type="dxa"/>
            <w:tcBorders>
              <w:bottom w:val="single" w:sz="4" w:space="0" w:color="auto"/>
            </w:tcBorders>
          </w:tcPr>
          <w:p w14:paraId="656C7A7D" w14:textId="77777777" w:rsidR="00976D7C" w:rsidRPr="006F151C" w:rsidRDefault="00976D7C" w:rsidP="00EE2A65">
            <w:pPr>
              <w:pStyle w:val="BodyText"/>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Marine space needed for mooring (Km</w:t>
            </w:r>
            <w:r w:rsidRPr="006F151C">
              <w:rPr>
                <w:rFonts w:ascii="Arial" w:hAnsi="Arial" w:cs="Arial"/>
                <w:vertAlign w:val="superscript"/>
              </w:rPr>
              <w:t>2</w:t>
            </w:r>
            <w:r w:rsidRPr="006F151C">
              <w:rPr>
                <w:rFonts w:ascii="Arial" w:hAnsi="Arial" w:cs="Arial"/>
              </w:rPr>
              <w:t>)</w:t>
            </w:r>
          </w:p>
        </w:tc>
      </w:tr>
      <w:tr w:rsidR="00976D7C" w:rsidRPr="006F151C" w14:paraId="753C2B0A"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uto"/>
              <w:left w:val="single" w:sz="4" w:space="0" w:color="auto"/>
              <w:bottom w:val="dotted" w:sz="4" w:space="0" w:color="595959" w:themeColor="text1" w:themeTint="A6"/>
              <w:right w:val="single" w:sz="4" w:space="0" w:color="auto"/>
            </w:tcBorders>
            <w:tcMar>
              <w:left w:w="28" w:type="dxa"/>
              <w:right w:w="28" w:type="dxa"/>
            </w:tcMar>
            <w:vAlign w:val="center"/>
          </w:tcPr>
          <w:p w14:paraId="6660D799" w14:textId="77777777" w:rsidR="00976D7C" w:rsidRPr="006F151C" w:rsidRDefault="00976D7C" w:rsidP="00EE2A65">
            <w:pPr>
              <w:pStyle w:val="BodyText"/>
              <w:spacing w:after="0" w:line="240" w:lineRule="auto"/>
              <w:jc w:val="center"/>
              <w:rPr>
                <w:rFonts w:ascii="Arial" w:eastAsiaTheme="minorHAnsi" w:hAnsi="Arial" w:cstheme="minorBidi"/>
                <w:color w:val="auto"/>
                <w:kern w:val="0"/>
                <w:szCs w:val="22"/>
                <w:lang w:eastAsia="en-US"/>
              </w:rPr>
            </w:pPr>
            <w:r w:rsidRPr="006F151C">
              <w:rPr>
                <w:rFonts w:ascii="Arial" w:hAnsi="Arial" w:cs="Arial"/>
              </w:rPr>
              <w:t>O</w:t>
            </w:r>
            <w:r w:rsidRPr="006F151C">
              <w:rPr>
                <w:rFonts w:ascii="Arial" w:eastAsiaTheme="minorHAnsi" w:hAnsi="Arial" w:cstheme="minorBidi"/>
                <w:color w:val="auto"/>
                <w:kern w:val="0"/>
                <w:szCs w:val="22"/>
                <w:lang w:eastAsia="en-US"/>
              </w:rPr>
              <w:t>S1. Xylofagou West</w:t>
            </w:r>
          </w:p>
          <w:p w14:paraId="2C3BF42E" w14:textId="77777777" w:rsidR="00976D7C" w:rsidRPr="006F151C" w:rsidRDefault="00976D7C" w:rsidP="00EE2A65">
            <w:pPr>
              <w:pStyle w:val="BodyText"/>
              <w:spacing w:after="0" w:line="240" w:lineRule="auto"/>
              <w:jc w:val="center"/>
              <w:rPr>
                <w:rFonts w:ascii="Arial" w:eastAsiaTheme="minorHAnsi" w:hAnsi="Arial" w:cstheme="minorBidi"/>
                <w:color w:val="auto"/>
                <w:kern w:val="0"/>
                <w:szCs w:val="22"/>
                <w:lang w:eastAsia="en-US"/>
              </w:rPr>
            </w:pPr>
          </w:p>
          <w:p w14:paraId="13135C42"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120m</w:t>
            </w:r>
          </w:p>
        </w:tc>
        <w:tc>
          <w:tcPr>
            <w:tcW w:w="1571" w:type="dxa"/>
            <w:vMerge w:val="restart"/>
            <w:tcBorders>
              <w:top w:val="single" w:sz="4" w:space="0" w:color="auto"/>
              <w:left w:val="single" w:sz="4" w:space="0" w:color="auto"/>
              <w:bottom w:val="dotted" w:sz="4" w:space="0" w:color="595959" w:themeColor="text1" w:themeTint="A6"/>
            </w:tcBorders>
            <w:vAlign w:val="center"/>
          </w:tcPr>
          <w:p w14:paraId="68C717C1"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F151C">
              <w:rPr>
                <w:rFonts w:ascii="Arial" w:hAnsi="Arial" w:cs="Arial"/>
              </w:rPr>
              <w:t>Badinotti’s</w:t>
            </w:r>
            <w:proofErr w:type="spellEnd"/>
            <w:r w:rsidRPr="006F151C">
              <w:rPr>
                <w:rFonts w:ascii="Arial" w:hAnsi="Arial" w:cs="Arial"/>
              </w:rPr>
              <w:t xml:space="preserve"> Oceanis1</w:t>
            </w:r>
          </w:p>
        </w:tc>
        <w:tc>
          <w:tcPr>
            <w:tcW w:w="1364" w:type="dxa"/>
            <w:tcBorders>
              <w:top w:val="single" w:sz="4" w:space="0" w:color="auto"/>
              <w:bottom w:val="dotted" w:sz="4" w:space="0" w:color="595959" w:themeColor="text1" w:themeTint="A6"/>
            </w:tcBorders>
          </w:tcPr>
          <w:p w14:paraId="38E747C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bottom w:val="dotted" w:sz="4" w:space="0" w:color="595959" w:themeColor="text1" w:themeTint="A6"/>
            </w:tcBorders>
          </w:tcPr>
          <w:p w14:paraId="1BB8FF5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30</w:t>
            </w:r>
          </w:p>
        </w:tc>
        <w:tc>
          <w:tcPr>
            <w:tcW w:w="1272" w:type="dxa"/>
            <w:tcBorders>
              <w:top w:val="single" w:sz="4" w:space="0" w:color="auto"/>
              <w:bottom w:val="dotted" w:sz="4" w:space="0" w:color="595959" w:themeColor="text1" w:themeTint="A6"/>
            </w:tcBorders>
          </w:tcPr>
          <w:p w14:paraId="2327D3D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0.12</w:t>
            </w:r>
          </w:p>
        </w:tc>
        <w:tc>
          <w:tcPr>
            <w:tcW w:w="1273" w:type="dxa"/>
            <w:tcBorders>
              <w:top w:val="single" w:sz="4" w:space="0" w:color="auto"/>
              <w:bottom w:val="dotted" w:sz="4" w:space="0" w:color="595959" w:themeColor="text1" w:themeTint="A6"/>
              <w:right w:val="single" w:sz="4" w:space="0" w:color="auto"/>
            </w:tcBorders>
            <w:vAlign w:val="bottom"/>
          </w:tcPr>
          <w:p w14:paraId="49F5C96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3.25</w:t>
            </w:r>
          </w:p>
        </w:tc>
      </w:tr>
      <w:tr w:rsidR="00976D7C" w:rsidRPr="006F151C" w14:paraId="78417CF5"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04C086F"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ign w:val="center"/>
          </w:tcPr>
          <w:p w14:paraId="1FEC5016"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dotted" w:sz="4" w:space="0" w:color="595959" w:themeColor="text1" w:themeTint="A6"/>
            </w:tcBorders>
          </w:tcPr>
          <w:p w14:paraId="47C9139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Borders>
              <w:top w:val="dotted" w:sz="4" w:space="0" w:color="595959" w:themeColor="text1" w:themeTint="A6"/>
              <w:bottom w:val="dotted" w:sz="4" w:space="0" w:color="595959" w:themeColor="text1" w:themeTint="A6"/>
            </w:tcBorders>
          </w:tcPr>
          <w:p w14:paraId="08015928"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47</w:t>
            </w:r>
          </w:p>
        </w:tc>
        <w:tc>
          <w:tcPr>
            <w:tcW w:w="1272" w:type="dxa"/>
            <w:tcBorders>
              <w:top w:val="dotted" w:sz="4" w:space="0" w:color="595959" w:themeColor="text1" w:themeTint="A6"/>
              <w:bottom w:val="dotted" w:sz="4" w:space="0" w:color="595959" w:themeColor="text1" w:themeTint="A6"/>
            </w:tcBorders>
          </w:tcPr>
          <w:p w14:paraId="36C60A1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0.18</w:t>
            </w:r>
          </w:p>
        </w:tc>
        <w:tc>
          <w:tcPr>
            <w:tcW w:w="1273" w:type="dxa"/>
            <w:tcBorders>
              <w:top w:val="dotted" w:sz="4" w:space="0" w:color="595959" w:themeColor="text1" w:themeTint="A6"/>
              <w:bottom w:val="dotted" w:sz="4" w:space="0" w:color="595959" w:themeColor="text1" w:themeTint="A6"/>
              <w:right w:val="single" w:sz="4" w:space="0" w:color="auto"/>
            </w:tcBorders>
            <w:vAlign w:val="bottom"/>
          </w:tcPr>
          <w:p w14:paraId="667D8418"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4.55</w:t>
            </w:r>
          </w:p>
        </w:tc>
      </w:tr>
      <w:tr w:rsidR="00976D7C" w:rsidRPr="006F151C" w14:paraId="0828F30E"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0363C6F5"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ign w:val="center"/>
          </w:tcPr>
          <w:p w14:paraId="25D45389"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single" w:sz="4" w:space="0" w:color="auto"/>
            </w:tcBorders>
          </w:tcPr>
          <w:p w14:paraId="5D9580E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Borders>
              <w:top w:val="dotted" w:sz="4" w:space="0" w:color="595959" w:themeColor="text1" w:themeTint="A6"/>
              <w:bottom w:val="single" w:sz="4" w:space="0" w:color="auto"/>
            </w:tcBorders>
          </w:tcPr>
          <w:p w14:paraId="4B7E87A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78</w:t>
            </w:r>
          </w:p>
        </w:tc>
        <w:tc>
          <w:tcPr>
            <w:tcW w:w="1272" w:type="dxa"/>
            <w:tcBorders>
              <w:top w:val="dotted" w:sz="4" w:space="0" w:color="595959" w:themeColor="text1" w:themeTint="A6"/>
              <w:bottom w:val="single" w:sz="4" w:space="0" w:color="auto"/>
            </w:tcBorders>
          </w:tcPr>
          <w:p w14:paraId="5027609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0.30</w:t>
            </w:r>
          </w:p>
        </w:tc>
        <w:tc>
          <w:tcPr>
            <w:tcW w:w="1273" w:type="dxa"/>
            <w:tcBorders>
              <w:top w:val="dotted" w:sz="4" w:space="0" w:color="595959" w:themeColor="text1" w:themeTint="A6"/>
              <w:bottom w:val="single" w:sz="4" w:space="0" w:color="auto"/>
              <w:right w:val="single" w:sz="4" w:space="0" w:color="auto"/>
            </w:tcBorders>
            <w:vAlign w:val="bottom"/>
          </w:tcPr>
          <w:p w14:paraId="11B281C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6.71</w:t>
            </w:r>
          </w:p>
        </w:tc>
      </w:tr>
      <w:tr w:rsidR="00976D7C" w:rsidRPr="006F151C" w14:paraId="0E03EE39"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6011211"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restart"/>
            <w:tcBorders>
              <w:top w:val="single" w:sz="4" w:space="0" w:color="auto"/>
              <w:left w:val="single" w:sz="4" w:space="0" w:color="auto"/>
              <w:bottom w:val="dotted" w:sz="4" w:space="0" w:color="595959" w:themeColor="text1" w:themeTint="A6"/>
            </w:tcBorders>
            <w:shd w:val="clear" w:color="auto" w:fill="F2F2F2" w:themeFill="background1" w:themeFillShade="F2"/>
            <w:vAlign w:val="center"/>
          </w:tcPr>
          <w:p w14:paraId="121ECF93"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Innova Sea</w:t>
            </w:r>
          </w:p>
        </w:tc>
        <w:tc>
          <w:tcPr>
            <w:tcW w:w="1364" w:type="dxa"/>
            <w:tcBorders>
              <w:top w:val="single" w:sz="4" w:space="0" w:color="auto"/>
              <w:bottom w:val="dotted" w:sz="4" w:space="0" w:color="595959" w:themeColor="text1" w:themeTint="A6"/>
            </w:tcBorders>
            <w:shd w:val="clear" w:color="auto" w:fill="F2F2F2" w:themeFill="background1" w:themeFillShade="F2"/>
          </w:tcPr>
          <w:p w14:paraId="430DF320"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bottom w:val="dotted" w:sz="4" w:space="0" w:color="595959" w:themeColor="text1" w:themeTint="A6"/>
            </w:tcBorders>
            <w:shd w:val="clear" w:color="auto" w:fill="F2F2F2" w:themeFill="background1" w:themeFillShade="F2"/>
          </w:tcPr>
          <w:p w14:paraId="0934D95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w:t>
            </w:r>
          </w:p>
        </w:tc>
        <w:tc>
          <w:tcPr>
            <w:tcW w:w="1272" w:type="dxa"/>
            <w:tcBorders>
              <w:top w:val="single" w:sz="4" w:space="0" w:color="auto"/>
              <w:bottom w:val="dotted" w:sz="4" w:space="0" w:color="595959" w:themeColor="text1" w:themeTint="A6"/>
            </w:tcBorders>
            <w:shd w:val="clear" w:color="auto" w:fill="F2F2F2" w:themeFill="background1" w:themeFillShade="F2"/>
          </w:tcPr>
          <w:p w14:paraId="4B8363E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0.10</w:t>
            </w:r>
          </w:p>
        </w:tc>
        <w:tc>
          <w:tcPr>
            <w:tcW w:w="1273" w:type="dxa"/>
            <w:tcBorders>
              <w:top w:val="single" w:sz="4" w:space="0" w:color="auto"/>
              <w:bottom w:val="dotted" w:sz="4" w:space="0" w:color="595959" w:themeColor="text1" w:themeTint="A6"/>
              <w:right w:val="single" w:sz="4" w:space="0" w:color="auto"/>
            </w:tcBorders>
            <w:shd w:val="clear" w:color="auto" w:fill="F2F2F2" w:themeFill="background1" w:themeFillShade="F2"/>
          </w:tcPr>
          <w:p w14:paraId="0A9B973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1.95</w:t>
            </w:r>
          </w:p>
        </w:tc>
      </w:tr>
      <w:tr w:rsidR="00976D7C" w:rsidRPr="006F151C" w14:paraId="4B4F9414"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47D6B5C2"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ign w:val="center"/>
          </w:tcPr>
          <w:p w14:paraId="13079E09"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dotted" w:sz="4" w:space="0" w:color="595959" w:themeColor="text1" w:themeTint="A6"/>
            </w:tcBorders>
            <w:shd w:val="clear" w:color="auto" w:fill="F2F2F2" w:themeFill="background1" w:themeFillShade="F2"/>
          </w:tcPr>
          <w:p w14:paraId="2646687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Borders>
              <w:top w:val="dotted" w:sz="4" w:space="0" w:color="595959" w:themeColor="text1" w:themeTint="A6"/>
              <w:bottom w:val="dotted" w:sz="4" w:space="0" w:color="595959" w:themeColor="text1" w:themeTint="A6"/>
            </w:tcBorders>
            <w:shd w:val="clear" w:color="auto" w:fill="F2F2F2" w:themeFill="background1" w:themeFillShade="F2"/>
          </w:tcPr>
          <w:p w14:paraId="76230CC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14</w:t>
            </w:r>
          </w:p>
        </w:tc>
        <w:tc>
          <w:tcPr>
            <w:tcW w:w="1272" w:type="dxa"/>
            <w:tcBorders>
              <w:top w:val="dotted" w:sz="4" w:space="0" w:color="595959" w:themeColor="text1" w:themeTint="A6"/>
              <w:bottom w:val="dotted" w:sz="4" w:space="0" w:color="595959" w:themeColor="text1" w:themeTint="A6"/>
            </w:tcBorders>
            <w:shd w:val="clear" w:color="auto" w:fill="F2F2F2" w:themeFill="background1" w:themeFillShade="F2"/>
          </w:tcPr>
          <w:p w14:paraId="39ADFCD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0.14</w:t>
            </w:r>
          </w:p>
        </w:tc>
        <w:tc>
          <w:tcPr>
            <w:tcW w:w="1273" w:type="dxa"/>
            <w:tcBorders>
              <w:top w:val="dotted" w:sz="4" w:space="0" w:color="595959" w:themeColor="text1" w:themeTint="A6"/>
              <w:bottom w:val="dotted" w:sz="4" w:space="0" w:color="595959" w:themeColor="text1" w:themeTint="A6"/>
              <w:right w:val="single" w:sz="4" w:space="0" w:color="auto"/>
            </w:tcBorders>
            <w:shd w:val="clear" w:color="auto" w:fill="F2F2F2" w:themeFill="background1" w:themeFillShade="F2"/>
          </w:tcPr>
          <w:p w14:paraId="62C8C58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2.20</w:t>
            </w:r>
          </w:p>
        </w:tc>
      </w:tr>
      <w:tr w:rsidR="00976D7C" w:rsidRPr="006F151C" w14:paraId="0B3FC15D"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46F0A5A5"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ign w:val="center"/>
          </w:tcPr>
          <w:p w14:paraId="190F97BD"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single" w:sz="4" w:space="0" w:color="auto"/>
            </w:tcBorders>
            <w:shd w:val="clear" w:color="auto" w:fill="F2F2F2" w:themeFill="background1" w:themeFillShade="F2"/>
          </w:tcPr>
          <w:p w14:paraId="063CFD9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Borders>
              <w:top w:val="dotted" w:sz="4" w:space="0" w:color="595959" w:themeColor="text1" w:themeTint="A6"/>
              <w:bottom w:val="single" w:sz="4" w:space="0" w:color="auto"/>
            </w:tcBorders>
            <w:shd w:val="clear" w:color="auto" w:fill="F2F2F2" w:themeFill="background1" w:themeFillShade="F2"/>
          </w:tcPr>
          <w:p w14:paraId="6CDA1C3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24</w:t>
            </w:r>
          </w:p>
        </w:tc>
        <w:tc>
          <w:tcPr>
            <w:tcW w:w="1272" w:type="dxa"/>
            <w:tcBorders>
              <w:top w:val="dotted" w:sz="4" w:space="0" w:color="595959" w:themeColor="text1" w:themeTint="A6"/>
              <w:bottom w:val="single" w:sz="4" w:space="0" w:color="auto"/>
            </w:tcBorders>
            <w:shd w:val="clear" w:color="auto" w:fill="F2F2F2" w:themeFill="background1" w:themeFillShade="F2"/>
          </w:tcPr>
          <w:p w14:paraId="067A56C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0.24</w:t>
            </w:r>
          </w:p>
        </w:tc>
        <w:tc>
          <w:tcPr>
            <w:tcW w:w="1273" w:type="dxa"/>
            <w:tcBorders>
              <w:top w:val="dotted" w:sz="4" w:space="0" w:color="595959" w:themeColor="text1" w:themeTint="A6"/>
              <w:bottom w:val="single" w:sz="4" w:space="0" w:color="auto"/>
              <w:right w:val="single" w:sz="4" w:space="0" w:color="auto"/>
            </w:tcBorders>
            <w:shd w:val="clear" w:color="auto" w:fill="F2F2F2" w:themeFill="background1" w:themeFillShade="F2"/>
          </w:tcPr>
          <w:p w14:paraId="1E61066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4.16</w:t>
            </w:r>
          </w:p>
        </w:tc>
      </w:tr>
      <w:tr w:rsidR="00976D7C" w:rsidRPr="006F151C" w14:paraId="0A8160C6"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7E9D0BF"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restart"/>
            <w:tcBorders>
              <w:top w:val="single" w:sz="4" w:space="0" w:color="auto"/>
              <w:left w:val="single" w:sz="4" w:space="0" w:color="auto"/>
              <w:bottom w:val="dotted" w:sz="4" w:space="0" w:color="595959" w:themeColor="text1" w:themeTint="A6"/>
            </w:tcBorders>
            <w:shd w:val="clear" w:color="auto" w:fill="D9D9D9" w:themeFill="background1" w:themeFillShade="D9"/>
            <w:vAlign w:val="center"/>
          </w:tcPr>
          <w:p w14:paraId="4FF9FF8F"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OS Aqua design (scenario 2)</w:t>
            </w:r>
          </w:p>
        </w:tc>
        <w:tc>
          <w:tcPr>
            <w:tcW w:w="1364" w:type="dxa"/>
            <w:tcBorders>
              <w:top w:val="single" w:sz="4" w:space="0" w:color="auto"/>
              <w:bottom w:val="dotted" w:sz="4" w:space="0" w:color="595959" w:themeColor="text1" w:themeTint="A6"/>
            </w:tcBorders>
            <w:shd w:val="clear" w:color="auto" w:fill="D9D9D9" w:themeFill="background1" w:themeFillShade="D9"/>
          </w:tcPr>
          <w:p w14:paraId="44CDF86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bottom w:val="dotted" w:sz="4" w:space="0" w:color="595959" w:themeColor="text1" w:themeTint="A6"/>
            </w:tcBorders>
            <w:shd w:val="clear" w:color="auto" w:fill="D9D9D9" w:themeFill="background1" w:themeFillShade="D9"/>
          </w:tcPr>
          <w:p w14:paraId="2CC0418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w:t>
            </w:r>
          </w:p>
        </w:tc>
        <w:tc>
          <w:tcPr>
            <w:tcW w:w="1272" w:type="dxa"/>
            <w:tcBorders>
              <w:top w:val="single" w:sz="4" w:space="0" w:color="auto"/>
              <w:bottom w:val="dotted" w:sz="4" w:space="0" w:color="595959" w:themeColor="text1" w:themeTint="A6"/>
            </w:tcBorders>
            <w:shd w:val="clear" w:color="auto" w:fill="D9D9D9" w:themeFill="background1" w:themeFillShade="D9"/>
          </w:tcPr>
          <w:p w14:paraId="669E4F9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0.01</w:t>
            </w:r>
          </w:p>
        </w:tc>
        <w:tc>
          <w:tcPr>
            <w:tcW w:w="1273" w:type="dxa"/>
            <w:tcBorders>
              <w:top w:val="single" w:sz="4" w:space="0" w:color="auto"/>
              <w:bottom w:val="dotted" w:sz="4" w:space="0" w:color="595959" w:themeColor="text1" w:themeTint="A6"/>
              <w:right w:val="single" w:sz="4" w:space="0" w:color="auto"/>
            </w:tcBorders>
            <w:shd w:val="clear" w:color="auto" w:fill="D9D9D9" w:themeFill="background1" w:themeFillShade="D9"/>
            <w:vAlign w:val="bottom"/>
          </w:tcPr>
          <w:p w14:paraId="625FA67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0.26</w:t>
            </w:r>
          </w:p>
        </w:tc>
      </w:tr>
      <w:tr w:rsidR="00976D7C" w:rsidRPr="006F151C" w14:paraId="1CF7704B"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06A3AFD"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ign w:val="center"/>
          </w:tcPr>
          <w:p w14:paraId="2665B216"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dotted" w:sz="4" w:space="0" w:color="595959" w:themeColor="text1" w:themeTint="A6"/>
            </w:tcBorders>
            <w:shd w:val="clear" w:color="auto" w:fill="D9D9D9" w:themeFill="background1" w:themeFillShade="D9"/>
          </w:tcPr>
          <w:p w14:paraId="266DB5F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Borders>
              <w:top w:val="dotted" w:sz="4" w:space="0" w:color="595959" w:themeColor="text1" w:themeTint="A6"/>
              <w:bottom w:val="dotted" w:sz="4" w:space="0" w:color="595959" w:themeColor="text1" w:themeTint="A6"/>
            </w:tcBorders>
            <w:shd w:val="clear" w:color="auto" w:fill="D9D9D9" w:themeFill="background1" w:themeFillShade="D9"/>
          </w:tcPr>
          <w:p w14:paraId="59EB3CA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16</w:t>
            </w:r>
          </w:p>
        </w:tc>
        <w:tc>
          <w:tcPr>
            <w:tcW w:w="1272" w:type="dxa"/>
            <w:tcBorders>
              <w:top w:val="dotted" w:sz="4" w:space="0" w:color="595959" w:themeColor="text1" w:themeTint="A6"/>
              <w:bottom w:val="dotted" w:sz="4" w:space="0" w:color="595959" w:themeColor="text1" w:themeTint="A6"/>
            </w:tcBorders>
            <w:shd w:val="clear" w:color="auto" w:fill="D9D9D9" w:themeFill="background1" w:themeFillShade="D9"/>
          </w:tcPr>
          <w:p w14:paraId="308347D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0.016</w:t>
            </w:r>
          </w:p>
        </w:tc>
        <w:tc>
          <w:tcPr>
            <w:tcW w:w="1273" w:type="dxa"/>
            <w:tcBorders>
              <w:top w:val="dotted" w:sz="4" w:space="0" w:color="595959" w:themeColor="text1" w:themeTint="A6"/>
              <w:bottom w:val="dotted" w:sz="4" w:space="0" w:color="595959" w:themeColor="text1" w:themeTint="A6"/>
              <w:right w:val="single" w:sz="4" w:space="0" w:color="auto"/>
            </w:tcBorders>
            <w:shd w:val="clear" w:color="auto" w:fill="D9D9D9" w:themeFill="background1" w:themeFillShade="D9"/>
            <w:vAlign w:val="bottom"/>
          </w:tcPr>
          <w:p w14:paraId="37679CC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0.41</w:t>
            </w:r>
          </w:p>
        </w:tc>
      </w:tr>
      <w:tr w:rsidR="00976D7C" w:rsidRPr="006F151C" w14:paraId="139C95A0"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5B9B9E79" w14:textId="77777777" w:rsidR="00976D7C" w:rsidRPr="006F151C" w:rsidRDefault="00976D7C" w:rsidP="00EE2A65">
            <w:pPr>
              <w:pStyle w:val="BodyText"/>
              <w:spacing w:after="0" w:line="240" w:lineRule="auto"/>
              <w:ind w:left="480"/>
              <w:jc w:val="center"/>
              <w:rPr>
                <w:rFonts w:ascii="Arial" w:hAnsi="Arial" w:cs="Arial"/>
              </w:rPr>
            </w:pPr>
          </w:p>
        </w:tc>
        <w:tc>
          <w:tcPr>
            <w:tcW w:w="1571" w:type="dxa"/>
            <w:vMerge/>
            <w:vAlign w:val="center"/>
          </w:tcPr>
          <w:p w14:paraId="7C1B6EC1"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single" w:sz="4" w:space="0" w:color="auto"/>
            </w:tcBorders>
            <w:shd w:val="clear" w:color="auto" w:fill="D9D9D9" w:themeFill="background1" w:themeFillShade="D9"/>
          </w:tcPr>
          <w:p w14:paraId="4374EA68"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Borders>
              <w:top w:val="dotted" w:sz="4" w:space="0" w:color="595959" w:themeColor="text1" w:themeTint="A6"/>
              <w:bottom w:val="single" w:sz="4" w:space="0" w:color="auto"/>
            </w:tcBorders>
            <w:shd w:val="clear" w:color="auto" w:fill="D9D9D9" w:themeFill="background1" w:themeFillShade="D9"/>
          </w:tcPr>
          <w:p w14:paraId="7751813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24</w:t>
            </w:r>
          </w:p>
        </w:tc>
        <w:tc>
          <w:tcPr>
            <w:tcW w:w="1272" w:type="dxa"/>
            <w:tcBorders>
              <w:top w:val="dotted" w:sz="4" w:space="0" w:color="595959" w:themeColor="text1" w:themeTint="A6"/>
              <w:bottom w:val="single" w:sz="4" w:space="0" w:color="auto"/>
            </w:tcBorders>
            <w:shd w:val="clear" w:color="auto" w:fill="D9D9D9" w:themeFill="background1" w:themeFillShade="D9"/>
          </w:tcPr>
          <w:p w14:paraId="0CD6978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0.024</w:t>
            </w:r>
          </w:p>
        </w:tc>
        <w:tc>
          <w:tcPr>
            <w:tcW w:w="1273" w:type="dxa"/>
            <w:tcBorders>
              <w:top w:val="dotted" w:sz="4" w:space="0" w:color="595959" w:themeColor="text1" w:themeTint="A6"/>
              <w:bottom w:val="single" w:sz="4" w:space="0" w:color="auto"/>
              <w:right w:val="single" w:sz="4" w:space="0" w:color="auto"/>
            </w:tcBorders>
            <w:shd w:val="clear" w:color="auto" w:fill="D9D9D9" w:themeFill="background1" w:themeFillShade="D9"/>
            <w:vAlign w:val="bottom"/>
          </w:tcPr>
          <w:p w14:paraId="1F802F20"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0.61</w:t>
            </w:r>
          </w:p>
        </w:tc>
      </w:tr>
      <w:tr w:rsidR="00976D7C" w:rsidRPr="006F151C" w14:paraId="7249A5B6"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val="restart"/>
            <w:tcBorders>
              <w:top w:val="single" w:sz="4" w:space="0" w:color="auto"/>
              <w:right w:val="single" w:sz="4" w:space="0" w:color="auto"/>
            </w:tcBorders>
            <w:tcMar>
              <w:left w:w="28" w:type="dxa"/>
              <w:right w:w="28" w:type="dxa"/>
            </w:tcMar>
            <w:vAlign w:val="center"/>
          </w:tcPr>
          <w:p w14:paraId="7924DB09"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 xml:space="preserve">OS2. Larnaca </w:t>
            </w:r>
          </w:p>
          <w:p w14:paraId="15F3E627" w14:textId="77777777" w:rsidR="00976D7C" w:rsidRPr="006F151C" w:rsidRDefault="00976D7C" w:rsidP="00EE2A65">
            <w:pPr>
              <w:pStyle w:val="BodyText"/>
              <w:spacing w:after="0" w:line="240" w:lineRule="auto"/>
              <w:jc w:val="center"/>
              <w:rPr>
                <w:rFonts w:ascii="Arial" w:hAnsi="Arial" w:cs="Arial"/>
              </w:rPr>
            </w:pPr>
          </w:p>
          <w:p w14:paraId="48D11FA3"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160 m</w:t>
            </w:r>
          </w:p>
        </w:tc>
        <w:tc>
          <w:tcPr>
            <w:tcW w:w="1571" w:type="dxa"/>
            <w:vMerge w:val="restart"/>
            <w:tcBorders>
              <w:top w:val="single" w:sz="4" w:space="0" w:color="auto"/>
              <w:left w:val="single" w:sz="4" w:space="0" w:color="auto"/>
              <w:bottom w:val="dotted" w:sz="4" w:space="0" w:color="595959" w:themeColor="text1" w:themeTint="A6"/>
            </w:tcBorders>
            <w:vAlign w:val="center"/>
          </w:tcPr>
          <w:p w14:paraId="19B79645"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F151C">
              <w:rPr>
                <w:rFonts w:ascii="Arial" w:hAnsi="Arial" w:cs="Arial"/>
              </w:rPr>
              <w:t>Badinotti’s</w:t>
            </w:r>
            <w:proofErr w:type="spellEnd"/>
            <w:r w:rsidRPr="006F151C">
              <w:rPr>
                <w:rFonts w:ascii="Arial" w:hAnsi="Arial" w:cs="Arial"/>
              </w:rPr>
              <w:t xml:space="preserve"> Oceanis1</w:t>
            </w:r>
          </w:p>
        </w:tc>
        <w:tc>
          <w:tcPr>
            <w:tcW w:w="1364" w:type="dxa"/>
            <w:tcBorders>
              <w:top w:val="single" w:sz="4" w:space="0" w:color="auto"/>
              <w:bottom w:val="dotted" w:sz="4" w:space="0" w:color="595959" w:themeColor="text1" w:themeTint="A6"/>
            </w:tcBorders>
          </w:tcPr>
          <w:p w14:paraId="330C97A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bottom w:val="dotted" w:sz="4" w:space="0" w:color="595959" w:themeColor="text1" w:themeTint="A6"/>
            </w:tcBorders>
          </w:tcPr>
          <w:p w14:paraId="0523B40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30</w:t>
            </w:r>
          </w:p>
        </w:tc>
        <w:tc>
          <w:tcPr>
            <w:tcW w:w="1272" w:type="dxa"/>
            <w:tcBorders>
              <w:top w:val="single" w:sz="4" w:space="0" w:color="auto"/>
              <w:bottom w:val="dotted" w:sz="4" w:space="0" w:color="595959" w:themeColor="text1" w:themeTint="A6"/>
            </w:tcBorders>
          </w:tcPr>
          <w:p w14:paraId="45BEEEE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0.12</w:t>
            </w:r>
          </w:p>
        </w:tc>
        <w:tc>
          <w:tcPr>
            <w:tcW w:w="1273" w:type="dxa"/>
            <w:tcBorders>
              <w:top w:val="single" w:sz="4" w:space="0" w:color="auto"/>
              <w:bottom w:val="dotted" w:sz="4" w:space="0" w:color="595959" w:themeColor="text1" w:themeTint="A6"/>
              <w:right w:val="single" w:sz="4" w:space="0" w:color="auto"/>
            </w:tcBorders>
            <w:vAlign w:val="bottom"/>
          </w:tcPr>
          <w:p w14:paraId="48E0C74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5.22</w:t>
            </w:r>
          </w:p>
        </w:tc>
      </w:tr>
      <w:tr w:rsidR="00976D7C" w:rsidRPr="006F151C" w14:paraId="1F5EDA88"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0E673CCB"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2993ED06"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dotted" w:sz="4" w:space="0" w:color="595959" w:themeColor="text1" w:themeTint="A6"/>
            </w:tcBorders>
          </w:tcPr>
          <w:p w14:paraId="2AF8B84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Borders>
              <w:top w:val="dotted" w:sz="4" w:space="0" w:color="595959" w:themeColor="text1" w:themeTint="A6"/>
              <w:bottom w:val="dotted" w:sz="4" w:space="0" w:color="595959" w:themeColor="text1" w:themeTint="A6"/>
            </w:tcBorders>
          </w:tcPr>
          <w:p w14:paraId="22C23F0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47</w:t>
            </w:r>
          </w:p>
        </w:tc>
        <w:tc>
          <w:tcPr>
            <w:tcW w:w="1272" w:type="dxa"/>
            <w:tcBorders>
              <w:top w:val="dotted" w:sz="4" w:space="0" w:color="595959" w:themeColor="text1" w:themeTint="A6"/>
              <w:bottom w:val="dotted" w:sz="4" w:space="0" w:color="595959" w:themeColor="text1" w:themeTint="A6"/>
            </w:tcBorders>
          </w:tcPr>
          <w:p w14:paraId="10F7E09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0.18</w:t>
            </w:r>
          </w:p>
        </w:tc>
        <w:tc>
          <w:tcPr>
            <w:tcW w:w="1273" w:type="dxa"/>
            <w:tcBorders>
              <w:top w:val="dotted" w:sz="4" w:space="0" w:color="595959" w:themeColor="text1" w:themeTint="A6"/>
              <w:bottom w:val="dotted" w:sz="4" w:space="0" w:color="595959" w:themeColor="text1" w:themeTint="A6"/>
              <w:right w:val="single" w:sz="4" w:space="0" w:color="auto"/>
            </w:tcBorders>
            <w:vAlign w:val="bottom"/>
          </w:tcPr>
          <w:p w14:paraId="106F7818"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7.25</w:t>
            </w:r>
          </w:p>
        </w:tc>
      </w:tr>
      <w:tr w:rsidR="00976D7C" w:rsidRPr="006F151C" w14:paraId="7D3E306C"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14F25486"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2FA1463D"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single" w:sz="4" w:space="0" w:color="auto"/>
            </w:tcBorders>
          </w:tcPr>
          <w:p w14:paraId="5910566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Borders>
              <w:top w:val="dotted" w:sz="4" w:space="0" w:color="595959" w:themeColor="text1" w:themeTint="A6"/>
              <w:bottom w:val="single" w:sz="4" w:space="0" w:color="auto"/>
            </w:tcBorders>
          </w:tcPr>
          <w:p w14:paraId="62D032E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78</w:t>
            </w:r>
          </w:p>
        </w:tc>
        <w:tc>
          <w:tcPr>
            <w:tcW w:w="1272" w:type="dxa"/>
            <w:tcBorders>
              <w:top w:val="dotted" w:sz="4" w:space="0" w:color="595959" w:themeColor="text1" w:themeTint="A6"/>
              <w:bottom w:val="single" w:sz="4" w:space="0" w:color="auto"/>
            </w:tcBorders>
          </w:tcPr>
          <w:p w14:paraId="683E385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0.30</w:t>
            </w:r>
          </w:p>
        </w:tc>
        <w:tc>
          <w:tcPr>
            <w:tcW w:w="1273" w:type="dxa"/>
            <w:tcBorders>
              <w:top w:val="dotted" w:sz="4" w:space="0" w:color="595959" w:themeColor="text1" w:themeTint="A6"/>
              <w:bottom w:val="single" w:sz="4" w:space="0" w:color="auto"/>
              <w:right w:val="single" w:sz="4" w:space="0" w:color="auto"/>
            </w:tcBorders>
            <w:vAlign w:val="bottom"/>
          </w:tcPr>
          <w:p w14:paraId="36051D3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000000" w:themeColor="text1"/>
              </w:rPr>
            </w:pPr>
            <w:r w:rsidRPr="006F151C">
              <w:rPr>
                <w:rFonts w:ascii="Arial" w:hAnsi="Arial" w:cs="Arial"/>
                <w:color w:val="000000" w:themeColor="text1"/>
              </w:rPr>
              <w:t>10.58</w:t>
            </w:r>
          </w:p>
        </w:tc>
      </w:tr>
      <w:tr w:rsidR="00976D7C" w:rsidRPr="006F151C" w14:paraId="3FA779CA"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55D4ABF3" w14:textId="77777777" w:rsidR="00976D7C" w:rsidRPr="006F151C" w:rsidRDefault="00976D7C" w:rsidP="00EE2A65">
            <w:pPr>
              <w:pStyle w:val="BodyText"/>
              <w:spacing w:after="0" w:line="240" w:lineRule="auto"/>
              <w:ind w:left="480"/>
              <w:rPr>
                <w:rFonts w:ascii="Arial" w:hAnsi="Arial" w:cs="Arial"/>
              </w:rPr>
            </w:pPr>
          </w:p>
        </w:tc>
        <w:tc>
          <w:tcPr>
            <w:tcW w:w="1571" w:type="dxa"/>
            <w:vMerge w:val="restart"/>
            <w:tcBorders>
              <w:top w:val="single" w:sz="4" w:space="0" w:color="auto"/>
              <w:left w:val="single" w:sz="4" w:space="0" w:color="auto"/>
              <w:bottom w:val="dotted" w:sz="4" w:space="0" w:color="595959" w:themeColor="text1" w:themeTint="A6"/>
            </w:tcBorders>
            <w:shd w:val="clear" w:color="auto" w:fill="F2F2F2" w:themeFill="background1" w:themeFillShade="F2"/>
            <w:vAlign w:val="center"/>
          </w:tcPr>
          <w:p w14:paraId="5AD567E9"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Innova Sea</w:t>
            </w:r>
          </w:p>
        </w:tc>
        <w:tc>
          <w:tcPr>
            <w:tcW w:w="1364" w:type="dxa"/>
            <w:tcBorders>
              <w:top w:val="single" w:sz="4" w:space="0" w:color="auto"/>
              <w:bottom w:val="dotted" w:sz="4" w:space="0" w:color="595959" w:themeColor="text1" w:themeTint="A6"/>
            </w:tcBorders>
            <w:shd w:val="clear" w:color="auto" w:fill="F2F2F2" w:themeFill="background1" w:themeFillShade="F2"/>
          </w:tcPr>
          <w:p w14:paraId="48003F4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bottom w:val="dotted" w:sz="4" w:space="0" w:color="595959" w:themeColor="text1" w:themeTint="A6"/>
            </w:tcBorders>
            <w:shd w:val="clear" w:color="auto" w:fill="F2F2F2" w:themeFill="background1" w:themeFillShade="F2"/>
          </w:tcPr>
          <w:p w14:paraId="4C88FE6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w:t>
            </w:r>
          </w:p>
        </w:tc>
        <w:tc>
          <w:tcPr>
            <w:tcW w:w="1272" w:type="dxa"/>
            <w:tcBorders>
              <w:top w:val="single" w:sz="4" w:space="0" w:color="auto"/>
              <w:bottom w:val="dotted" w:sz="4" w:space="0" w:color="595959" w:themeColor="text1" w:themeTint="A6"/>
            </w:tcBorders>
            <w:shd w:val="clear" w:color="auto" w:fill="F2F2F2" w:themeFill="background1" w:themeFillShade="F2"/>
          </w:tcPr>
          <w:p w14:paraId="3E95A82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0.10</w:t>
            </w:r>
          </w:p>
        </w:tc>
        <w:tc>
          <w:tcPr>
            <w:tcW w:w="1273" w:type="dxa"/>
            <w:tcBorders>
              <w:top w:val="single" w:sz="4" w:space="0" w:color="auto"/>
              <w:bottom w:val="dotted" w:sz="4" w:space="0" w:color="595959" w:themeColor="text1" w:themeTint="A6"/>
              <w:right w:val="single" w:sz="4" w:space="0" w:color="auto"/>
            </w:tcBorders>
            <w:shd w:val="clear" w:color="auto" w:fill="F2F2F2" w:themeFill="background1" w:themeFillShade="F2"/>
          </w:tcPr>
          <w:p w14:paraId="0E6123C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3.07</w:t>
            </w:r>
          </w:p>
        </w:tc>
      </w:tr>
      <w:tr w:rsidR="00976D7C" w:rsidRPr="006F151C" w14:paraId="5EE9CA16"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16F82010"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47F2CBF2"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dotted" w:sz="4" w:space="0" w:color="595959" w:themeColor="text1" w:themeTint="A6"/>
            </w:tcBorders>
            <w:shd w:val="clear" w:color="auto" w:fill="F2F2F2" w:themeFill="background1" w:themeFillShade="F2"/>
          </w:tcPr>
          <w:p w14:paraId="4886DD5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Borders>
              <w:top w:val="dotted" w:sz="4" w:space="0" w:color="595959" w:themeColor="text1" w:themeTint="A6"/>
              <w:bottom w:val="dotted" w:sz="4" w:space="0" w:color="595959" w:themeColor="text1" w:themeTint="A6"/>
            </w:tcBorders>
            <w:shd w:val="clear" w:color="auto" w:fill="F2F2F2" w:themeFill="background1" w:themeFillShade="F2"/>
          </w:tcPr>
          <w:p w14:paraId="78E6A8B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14</w:t>
            </w:r>
          </w:p>
        </w:tc>
        <w:tc>
          <w:tcPr>
            <w:tcW w:w="1272" w:type="dxa"/>
            <w:tcBorders>
              <w:top w:val="dotted" w:sz="4" w:space="0" w:color="595959" w:themeColor="text1" w:themeTint="A6"/>
              <w:bottom w:val="dotted" w:sz="4" w:space="0" w:color="595959" w:themeColor="text1" w:themeTint="A6"/>
            </w:tcBorders>
            <w:shd w:val="clear" w:color="auto" w:fill="F2F2F2" w:themeFill="background1" w:themeFillShade="F2"/>
          </w:tcPr>
          <w:p w14:paraId="43E4AC89"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0.14</w:t>
            </w:r>
          </w:p>
        </w:tc>
        <w:tc>
          <w:tcPr>
            <w:tcW w:w="1273" w:type="dxa"/>
            <w:tcBorders>
              <w:top w:val="dotted" w:sz="4" w:space="0" w:color="595959" w:themeColor="text1" w:themeTint="A6"/>
              <w:bottom w:val="dotted" w:sz="4" w:space="0" w:color="595959" w:themeColor="text1" w:themeTint="A6"/>
              <w:right w:val="single" w:sz="4" w:space="0" w:color="auto"/>
            </w:tcBorders>
            <w:shd w:val="clear" w:color="auto" w:fill="F2F2F2" w:themeFill="background1" w:themeFillShade="F2"/>
          </w:tcPr>
          <w:p w14:paraId="36BBD51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3.39</w:t>
            </w:r>
          </w:p>
        </w:tc>
      </w:tr>
      <w:tr w:rsidR="00976D7C" w:rsidRPr="006F151C" w14:paraId="730D4E73"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49FA90D3"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2C92B888"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single" w:sz="4" w:space="0" w:color="auto"/>
            </w:tcBorders>
            <w:shd w:val="clear" w:color="auto" w:fill="F2F2F2" w:themeFill="background1" w:themeFillShade="F2"/>
          </w:tcPr>
          <w:p w14:paraId="13BE16F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Borders>
              <w:top w:val="dotted" w:sz="4" w:space="0" w:color="595959" w:themeColor="text1" w:themeTint="A6"/>
              <w:bottom w:val="single" w:sz="4" w:space="0" w:color="auto"/>
            </w:tcBorders>
            <w:shd w:val="clear" w:color="auto" w:fill="F2F2F2" w:themeFill="background1" w:themeFillShade="F2"/>
          </w:tcPr>
          <w:p w14:paraId="7E84E31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24</w:t>
            </w:r>
          </w:p>
        </w:tc>
        <w:tc>
          <w:tcPr>
            <w:tcW w:w="1272" w:type="dxa"/>
            <w:tcBorders>
              <w:top w:val="dotted" w:sz="4" w:space="0" w:color="595959" w:themeColor="text1" w:themeTint="A6"/>
              <w:bottom w:val="single" w:sz="4" w:space="0" w:color="auto"/>
            </w:tcBorders>
            <w:shd w:val="clear" w:color="auto" w:fill="F2F2F2" w:themeFill="background1" w:themeFillShade="F2"/>
          </w:tcPr>
          <w:p w14:paraId="4B08DAD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0.24</w:t>
            </w:r>
          </w:p>
        </w:tc>
        <w:tc>
          <w:tcPr>
            <w:tcW w:w="1273" w:type="dxa"/>
            <w:tcBorders>
              <w:top w:val="dotted" w:sz="4" w:space="0" w:color="595959" w:themeColor="text1" w:themeTint="A6"/>
              <w:bottom w:val="single" w:sz="4" w:space="0" w:color="auto"/>
              <w:right w:val="single" w:sz="4" w:space="0" w:color="auto"/>
            </w:tcBorders>
            <w:shd w:val="clear" w:color="auto" w:fill="F2F2F2" w:themeFill="background1" w:themeFillShade="F2"/>
          </w:tcPr>
          <w:p w14:paraId="2DC17E0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6.46</w:t>
            </w:r>
          </w:p>
        </w:tc>
      </w:tr>
      <w:tr w:rsidR="00976D7C" w:rsidRPr="006F151C" w14:paraId="1404E31A"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6087858A" w14:textId="77777777" w:rsidR="00976D7C" w:rsidRPr="006F151C" w:rsidRDefault="00976D7C" w:rsidP="00EE2A65">
            <w:pPr>
              <w:pStyle w:val="BodyText"/>
              <w:spacing w:after="0" w:line="240" w:lineRule="auto"/>
              <w:ind w:left="480"/>
              <w:rPr>
                <w:rFonts w:ascii="Arial" w:hAnsi="Arial" w:cs="Arial"/>
              </w:rPr>
            </w:pPr>
          </w:p>
        </w:tc>
        <w:tc>
          <w:tcPr>
            <w:tcW w:w="1571" w:type="dxa"/>
            <w:vMerge w:val="restart"/>
            <w:tcBorders>
              <w:top w:val="single" w:sz="4" w:space="0" w:color="auto"/>
              <w:left w:val="single" w:sz="4" w:space="0" w:color="auto"/>
              <w:bottom w:val="dotted" w:sz="4" w:space="0" w:color="595959" w:themeColor="text1" w:themeTint="A6"/>
            </w:tcBorders>
            <w:shd w:val="clear" w:color="auto" w:fill="D9D9D9" w:themeFill="background1" w:themeFillShade="D9"/>
            <w:vAlign w:val="center"/>
          </w:tcPr>
          <w:p w14:paraId="4A1AF166"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OS Aqua design (scenario 2)</w:t>
            </w:r>
          </w:p>
        </w:tc>
        <w:tc>
          <w:tcPr>
            <w:tcW w:w="1364" w:type="dxa"/>
            <w:tcBorders>
              <w:top w:val="single" w:sz="4" w:space="0" w:color="auto"/>
              <w:bottom w:val="dotted" w:sz="4" w:space="0" w:color="595959" w:themeColor="text1" w:themeTint="A6"/>
            </w:tcBorders>
            <w:shd w:val="clear" w:color="auto" w:fill="D9D9D9" w:themeFill="background1" w:themeFillShade="D9"/>
          </w:tcPr>
          <w:p w14:paraId="06ABAFF9"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bottom w:val="dotted" w:sz="4" w:space="0" w:color="595959" w:themeColor="text1" w:themeTint="A6"/>
            </w:tcBorders>
            <w:shd w:val="clear" w:color="auto" w:fill="D9D9D9" w:themeFill="background1" w:themeFillShade="D9"/>
          </w:tcPr>
          <w:p w14:paraId="038A95B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w:t>
            </w:r>
          </w:p>
        </w:tc>
        <w:tc>
          <w:tcPr>
            <w:tcW w:w="1272" w:type="dxa"/>
            <w:tcBorders>
              <w:top w:val="single" w:sz="4" w:space="0" w:color="auto"/>
              <w:bottom w:val="dotted" w:sz="4" w:space="0" w:color="595959" w:themeColor="text1" w:themeTint="A6"/>
            </w:tcBorders>
            <w:shd w:val="clear" w:color="auto" w:fill="D9D9D9" w:themeFill="background1" w:themeFillShade="D9"/>
          </w:tcPr>
          <w:p w14:paraId="769F2290"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0.01</w:t>
            </w:r>
          </w:p>
        </w:tc>
        <w:tc>
          <w:tcPr>
            <w:tcW w:w="1273" w:type="dxa"/>
            <w:tcBorders>
              <w:top w:val="single" w:sz="4" w:space="0" w:color="auto"/>
              <w:bottom w:val="dotted" w:sz="4" w:space="0" w:color="595959" w:themeColor="text1" w:themeTint="A6"/>
              <w:right w:val="single" w:sz="4" w:space="0" w:color="auto"/>
            </w:tcBorders>
            <w:shd w:val="clear" w:color="auto" w:fill="D9D9D9" w:themeFill="background1" w:themeFillShade="D9"/>
            <w:vAlign w:val="bottom"/>
          </w:tcPr>
          <w:p w14:paraId="51FDE34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0.46</w:t>
            </w:r>
          </w:p>
        </w:tc>
      </w:tr>
      <w:tr w:rsidR="00976D7C" w:rsidRPr="006F151C" w14:paraId="2C822CB1"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1A891ACA"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18D56FA8"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dotted" w:sz="4" w:space="0" w:color="595959" w:themeColor="text1" w:themeTint="A6"/>
            </w:tcBorders>
            <w:shd w:val="clear" w:color="auto" w:fill="D9D9D9" w:themeFill="background1" w:themeFillShade="D9"/>
          </w:tcPr>
          <w:p w14:paraId="4F29435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Borders>
              <w:top w:val="dotted" w:sz="4" w:space="0" w:color="595959" w:themeColor="text1" w:themeTint="A6"/>
              <w:bottom w:val="dotted" w:sz="4" w:space="0" w:color="595959" w:themeColor="text1" w:themeTint="A6"/>
            </w:tcBorders>
            <w:shd w:val="clear" w:color="auto" w:fill="D9D9D9" w:themeFill="background1" w:themeFillShade="D9"/>
          </w:tcPr>
          <w:p w14:paraId="7D08589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16</w:t>
            </w:r>
          </w:p>
        </w:tc>
        <w:tc>
          <w:tcPr>
            <w:tcW w:w="1272" w:type="dxa"/>
            <w:tcBorders>
              <w:top w:val="dotted" w:sz="4" w:space="0" w:color="595959" w:themeColor="text1" w:themeTint="A6"/>
              <w:bottom w:val="dotted" w:sz="4" w:space="0" w:color="595959" w:themeColor="text1" w:themeTint="A6"/>
            </w:tcBorders>
            <w:shd w:val="clear" w:color="auto" w:fill="D9D9D9" w:themeFill="background1" w:themeFillShade="D9"/>
          </w:tcPr>
          <w:p w14:paraId="443C3EE0"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0.016</w:t>
            </w:r>
          </w:p>
        </w:tc>
        <w:tc>
          <w:tcPr>
            <w:tcW w:w="1273" w:type="dxa"/>
            <w:tcBorders>
              <w:top w:val="dotted" w:sz="4" w:space="0" w:color="595959" w:themeColor="text1" w:themeTint="A6"/>
              <w:bottom w:val="dotted" w:sz="4" w:space="0" w:color="595959" w:themeColor="text1" w:themeTint="A6"/>
              <w:right w:val="single" w:sz="4" w:space="0" w:color="auto"/>
            </w:tcBorders>
            <w:shd w:val="clear" w:color="auto" w:fill="D9D9D9" w:themeFill="background1" w:themeFillShade="D9"/>
            <w:vAlign w:val="bottom"/>
          </w:tcPr>
          <w:p w14:paraId="5644E7E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0.73</w:t>
            </w:r>
          </w:p>
        </w:tc>
      </w:tr>
      <w:tr w:rsidR="00976D7C" w:rsidRPr="006F151C" w14:paraId="15347841"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18F9419E"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2D571088"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Borders>
              <w:top w:val="dotted" w:sz="4" w:space="0" w:color="595959" w:themeColor="text1" w:themeTint="A6"/>
              <w:bottom w:val="single" w:sz="4" w:space="0" w:color="auto"/>
            </w:tcBorders>
            <w:shd w:val="clear" w:color="auto" w:fill="D9D9D9" w:themeFill="background1" w:themeFillShade="D9"/>
          </w:tcPr>
          <w:p w14:paraId="00220BD9"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Borders>
              <w:top w:val="dotted" w:sz="4" w:space="0" w:color="595959" w:themeColor="text1" w:themeTint="A6"/>
              <w:bottom w:val="single" w:sz="4" w:space="0" w:color="auto"/>
            </w:tcBorders>
            <w:shd w:val="clear" w:color="auto" w:fill="D9D9D9" w:themeFill="background1" w:themeFillShade="D9"/>
          </w:tcPr>
          <w:p w14:paraId="352D408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24</w:t>
            </w:r>
          </w:p>
        </w:tc>
        <w:tc>
          <w:tcPr>
            <w:tcW w:w="1272" w:type="dxa"/>
            <w:tcBorders>
              <w:top w:val="dotted" w:sz="4" w:space="0" w:color="595959" w:themeColor="text1" w:themeTint="A6"/>
              <w:bottom w:val="single" w:sz="4" w:space="0" w:color="auto"/>
            </w:tcBorders>
            <w:shd w:val="clear" w:color="auto" w:fill="D9D9D9" w:themeFill="background1" w:themeFillShade="D9"/>
          </w:tcPr>
          <w:p w14:paraId="24113378"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0.024</w:t>
            </w:r>
          </w:p>
        </w:tc>
        <w:tc>
          <w:tcPr>
            <w:tcW w:w="1273" w:type="dxa"/>
            <w:tcBorders>
              <w:top w:val="dotted" w:sz="4" w:space="0" w:color="595959" w:themeColor="text1" w:themeTint="A6"/>
              <w:bottom w:val="single" w:sz="4" w:space="0" w:color="auto"/>
              <w:right w:val="single" w:sz="4" w:space="0" w:color="auto"/>
            </w:tcBorders>
            <w:shd w:val="clear" w:color="auto" w:fill="D9D9D9" w:themeFill="background1" w:themeFillShade="D9"/>
            <w:vAlign w:val="bottom"/>
          </w:tcPr>
          <w:p w14:paraId="42F03BD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1.09</w:t>
            </w:r>
          </w:p>
        </w:tc>
      </w:tr>
      <w:tr w:rsidR="00976D7C" w:rsidRPr="006F151C" w14:paraId="179E53B3"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val="restart"/>
            <w:tcMar>
              <w:left w:w="28" w:type="dxa"/>
              <w:right w:w="28" w:type="dxa"/>
            </w:tcMar>
            <w:vAlign w:val="center"/>
          </w:tcPr>
          <w:p w14:paraId="18F62497"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OS3. Governor’s Beach</w:t>
            </w:r>
          </w:p>
          <w:p w14:paraId="35E67991" w14:textId="77777777" w:rsidR="00976D7C" w:rsidRPr="006F151C" w:rsidRDefault="00976D7C" w:rsidP="00EE2A65">
            <w:pPr>
              <w:pStyle w:val="BodyText"/>
              <w:spacing w:after="0" w:line="240" w:lineRule="auto"/>
              <w:jc w:val="center"/>
              <w:rPr>
                <w:rFonts w:ascii="Arial" w:hAnsi="Arial" w:cs="Arial"/>
              </w:rPr>
            </w:pPr>
          </w:p>
          <w:p w14:paraId="65D278CE"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lastRenderedPageBreak/>
              <w:t>120 m</w:t>
            </w:r>
          </w:p>
        </w:tc>
        <w:tc>
          <w:tcPr>
            <w:tcW w:w="1571" w:type="dxa"/>
            <w:vMerge w:val="restart"/>
            <w:tcBorders>
              <w:top w:val="single" w:sz="4" w:space="0" w:color="auto"/>
            </w:tcBorders>
            <w:vAlign w:val="center"/>
          </w:tcPr>
          <w:p w14:paraId="56715B77"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F151C">
              <w:rPr>
                <w:rFonts w:ascii="Arial" w:hAnsi="Arial" w:cs="Arial"/>
              </w:rPr>
              <w:lastRenderedPageBreak/>
              <w:t>Badinotti’s</w:t>
            </w:r>
            <w:proofErr w:type="spellEnd"/>
            <w:r w:rsidRPr="006F151C">
              <w:rPr>
                <w:rFonts w:ascii="Arial" w:hAnsi="Arial" w:cs="Arial"/>
              </w:rPr>
              <w:t xml:space="preserve"> Oceanis1</w:t>
            </w:r>
          </w:p>
        </w:tc>
        <w:tc>
          <w:tcPr>
            <w:tcW w:w="1364" w:type="dxa"/>
            <w:tcBorders>
              <w:top w:val="single" w:sz="4" w:space="0" w:color="auto"/>
            </w:tcBorders>
          </w:tcPr>
          <w:p w14:paraId="55CEBBE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Borders>
              <w:top w:val="single" w:sz="4" w:space="0" w:color="auto"/>
            </w:tcBorders>
          </w:tcPr>
          <w:p w14:paraId="770B2DF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30</w:t>
            </w:r>
          </w:p>
        </w:tc>
        <w:tc>
          <w:tcPr>
            <w:tcW w:w="1272" w:type="dxa"/>
            <w:tcBorders>
              <w:top w:val="single" w:sz="4" w:space="0" w:color="auto"/>
            </w:tcBorders>
          </w:tcPr>
          <w:p w14:paraId="02EF142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0.12</w:t>
            </w:r>
          </w:p>
        </w:tc>
        <w:tc>
          <w:tcPr>
            <w:tcW w:w="1273" w:type="dxa"/>
            <w:tcBorders>
              <w:top w:val="single" w:sz="4" w:space="0" w:color="auto"/>
            </w:tcBorders>
            <w:vAlign w:val="bottom"/>
          </w:tcPr>
          <w:p w14:paraId="28E5EC1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3.25</w:t>
            </w:r>
          </w:p>
        </w:tc>
      </w:tr>
      <w:tr w:rsidR="00976D7C" w:rsidRPr="006F151C" w14:paraId="3BE37B3F"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FFDA663"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30E4EBD3"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Pr>
          <w:p w14:paraId="5937B88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Pr>
          <w:p w14:paraId="49AFA3D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47</w:t>
            </w:r>
          </w:p>
        </w:tc>
        <w:tc>
          <w:tcPr>
            <w:tcW w:w="1272" w:type="dxa"/>
          </w:tcPr>
          <w:p w14:paraId="722DEFF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0.18</w:t>
            </w:r>
          </w:p>
        </w:tc>
        <w:tc>
          <w:tcPr>
            <w:tcW w:w="1273" w:type="dxa"/>
            <w:vAlign w:val="bottom"/>
          </w:tcPr>
          <w:p w14:paraId="675B7D5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4.55</w:t>
            </w:r>
          </w:p>
        </w:tc>
      </w:tr>
      <w:tr w:rsidR="00976D7C" w:rsidRPr="006F151C" w14:paraId="0F4BAF75"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0FBEC2A"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7B9FDDA6"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Pr>
          <w:p w14:paraId="3F0713B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Pr>
          <w:p w14:paraId="0D8BB789"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78</w:t>
            </w:r>
          </w:p>
        </w:tc>
        <w:tc>
          <w:tcPr>
            <w:tcW w:w="1272" w:type="dxa"/>
          </w:tcPr>
          <w:p w14:paraId="440CBFC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0.30</w:t>
            </w:r>
          </w:p>
        </w:tc>
        <w:tc>
          <w:tcPr>
            <w:tcW w:w="1273" w:type="dxa"/>
            <w:vAlign w:val="bottom"/>
          </w:tcPr>
          <w:p w14:paraId="3825702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6.71</w:t>
            </w:r>
          </w:p>
        </w:tc>
      </w:tr>
      <w:tr w:rsidR="00976D7C" w:rsidRPr="006F151C" w14:paraId="498829D0"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6596CC94" w14:textId="77777777" w:rsidR="00976D7C" w:rsidRPr="006F151C" w:rsidRDefault="00976D7C" w:rsidP="00EE2A65">
            <w:pPr>
              <w:pStyle w:val="BodyText"/>
              <w:spacing w:after="0" w:line="240" w:lineRule="auto"/>
              <w:ind w:left="480"/>
              <w:rPr>
                <w:rFonts w:ascii="Arial" w:hAnsi="Arial" w:cs="Arial"/>
              </w:rPr>
            </w:pPr>
          </w:p>
        </w:tc>
        <w:tc>
          <w:tcPr>
            <w:tcW w:w="1571" w:type="dxa"/>
            <w:vMerge w:val="restart"/>
            <w:shd w:val="clear" w:color="auto" w:fill="F2F2F2" w:themeFill="background1" w:themeFillShade="F2"/>
            <w:vAlign w:val="center"/>
          </w:tcPr>
          <w:p w14:paraId="653348FE"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Innova Sea</w:t>
            </w:r>
          </w:p>
        </w:tc>
        <w:tc>
          <w:tcPr>
            <w:tcW w:w="1364" w:type="dxa"/>
            <w:shd w:val="clear" w:color="auto" w:fill="F2F2F2" w:themeFill="background1" w:themeFillShade="F2"/>
          </w:tcPr>
          <w:p w14:paraId="7B84227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shd w:val="clear" w:color="auto" w:fill="F2F2F2" w:themeFill="background1" w:themeFillShade="F2"/>
          </w:tcPr>
          <w:p w14:paraId="172A580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w:t>
            </w:r>
          </w:p>
        </w:tc>
        <w:tc>
          <w:tcPr>
            <w:tcW w:w="1272" w:type="dxa"/>
            <w:shd w:val="clear" w:color="auto" w:fill="F2F2F2" w:themeFill="background1" w:themeFillShade="F2"/>
          </w:tcPr>
          <w:p w14:paraId="4E7F5AC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0.10</w:t>
            </w:r>
          </w:p>
        </w:tc>
        <w:tc>
          <w:tcPr>
            <w:tcW w:w="1273" w:type="dxa"/>
            <w:shd w:val="clear" w:color="auto" w:fill="F2F2F2" w:themeFill="background1" w:themeFillShade="F2"/>
          </w:tcPr>
          <w:p w14:paraId="06CB8A60"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1.95</w:t>
            </w:r>
          </w:p>
        </w:tc>
      </w:tr>
      <w:tr w:rsidR="00976D7C" w:rsidRPr="006F151C" w14:paraId="209F87B5"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07B8FF76"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5F2CFEBF"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shd w:val="clear" w:color="auto" w:fill="F2F2F2" w:themeFill="background1" w:themeFillShade="F2"/>
          </w:tcPr>
          <w:p w14:paraId="5C35DE0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shd w:val="clear" w:color="auto" w:fill="F2F2F2" w:themeFill="background1" w:themeFillShade="F2"/>
          </w:tcPr>
          <w:p w14:paraId="19935098"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14</w:t>
            </w:r>
          </w:p>
        </w:tc>
        <w:tc>
          <w:tcPr>
            <w:tcW w:w="1272" w:type="dxa"/>
            <w:shd w:val="clear" w:color="auto" w:fill="F2F2F2" w:themeFill="background1" w:themeFillShade="F2"/>
          </w:tcPr>
          <w:p w14:paraId="4387847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0.14</w:t>
            </w:r>
          </w:p>
        </w:tc>
        <w:tc>
          <w:tcPr>
            <w:tcW w:w="1273" w:type="dxa"/>
            <w:shd w:val="clear" w:color="auto" w:fill="F2F2F2" w:themeFill="background1" w:themeFillShade="F2"/>
          </w:tcPr>
          <w:p w14:paraId="40F20B1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2.20</w:t>
            </w:r>
          </w:p>
        </w:tc>
      </w:tr>
      <w:tr w:rsidR="00976D7C" w:rsidRPr="006F151C" w14:paraId="1E897222"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3260040"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03E45465"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shd w:val="clear" w:color="auto" w:fill="F2F2F2" w:themeFill="background1" w:themeFillShade="F2"/>
          </w:tcPr>
          <w:p w14:paraId="6986628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shd w:val="clear" w:color="auto" w:fill="F2F2F2" w:themeFill="background1" w:themeFillShade="F2"/>
          </w:tcPr>
          <w:p w14:paraId="637FE6C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24</w:t>
            </w:r>
          </w:p>
        </w:tc>
        <w:tc>
          <w:tcPr>
            <w:tcW w:w="1272" w:type="dxa"/>
            <w:shd w:val="clear" w:color="auto" w:fill="F2F2F2" w:themeFill="background1" w:themeFillShade="F2"/>
          </w:tcPr>
          <w:p w14:paraId="3CC66B6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0.24</w:t>
            </w:r>
          </w:p>
        </w:tc>
        <w:tc>
          <w:tcPr>
            <w:tcW w:w="1273" w:type="dxa"/>
            <w:shd w:val="clear" w:color="auto" w:fill="F2F2F2" w:themeFill="background1" w:themeFillShade="F2"/>
          </w:tcPr>
          <w:p w14:paraId="2312AD2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4.16</w:t>
            </w:r>
          </w:p>
        </w:tc>
      </w:tr>
      <w:tr w:rsidR="00976D7C" w:rsidRPr="006F151C" w14:paraId="47C9F019"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19EC4856" w14:textId="77777777" w:rsidR="00976D7C" w:rsidRPr="006F151C" w:rsidRDefault="00976D7C" w:rsidP="00EE2A65">
            <w:pPr>
              <w:pStyle w:val="BodyText"/>
              <w:spacing w:after="0" w:line="240" w:lineRule="auto"/>
              <w:ind w:left="480"/>
              <w:rPr>
                <w:rFonts w:ascii="Arial" w:hAnsi="Arial" w:cs="Arial"/>
              </w:rPr>
            </w:pPr>
          </w:p>
        </w:tc>
        <w:tc>
          <w:tcPr>
            <w:tcW w:w="1571" w:type="dxa"/>
            <w:vMerge w:val="restart"/>
            <w:shd w:val="clear" w:color="auto" w:fill="D9D9D9" w:themeFill="background1" w:themeFillShade="D9"/>
            <w:vAlign w:val="center"/>
          </w:tcPr>
          <w:p w14:paraId="189FD7BF"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OS Aqua design (scenario 2)</w:t>
            </w:r>
          </w:p>
        </w:tc>
        <w:tc>
          <w:tcPr>
            <w:tcW w:w="1364" w:type="dxa"/>
            <w:shd w:val="clear" w:color="auto" w:fill="D9D9D9" w:themeFill="background1" w:themeFillShade="D9"/>
          </w:tcPr>
          <w:p w14:paraId="47247F5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shd w:val="clear" w:color="auto" w:fill="D9D9D9" w:themeFill="background1" w:themeFillShade="D9"/>
          </w:tcPr>
          <w:p w14:paraId="5E354AD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10</w:t>
            </w:r>
          </w:p>
        </w:tc>
        <w:tc>
          <w:tcPr>
            <w:tcW w:w="1272" w:type="dxa"/>
            <w:shd w:val="clear" w:color="auto" w:fill="D9D9D9" w:themeFill="background1" w:themeFillShade="D9"/>
          </w:tcPr>
          <w:p w14:paraId="3D8458E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0.01</w:t>
            </w:r>
          </w:p>
        </w:tc>
        <w:tc>
          <w:tcPr>
            <w:tcW w:w="1273" w:type="dxa"/>
            <w:shd w:val="clear" w:color="auto" w:fill="D9D9D9" w:themeFill="background1" w:themeFillShade="D9"/>
            <w:vAlign w:val="bottom"/>
          </w:tcPr>
          <w:p w14:paraId="1954082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0.26</w:t>
            </w:r>
          </w:p>
        </w:tc>
      </w:tr>
      <w:tr w:rsidR="00976D7C" w:rsidRPr="006F151C" w14:paraId="2FA7DE6C"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290CDBCE"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6D5936D0"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shd w:val="clear" w:color="auto" w:fill="D9D9D9" w:themeFill="background1" w:themeFillShade="D9"/>
          </w:tcPr>
          <w:p w14:paraId="1298C69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shd w:val="clear" w:color="auto" w:fill="D9D9D9" w:themeFill="background1" w:themeFillShade="D9"/>
          </w:tcPr>
          <w:p w14:paraId="0A087B6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16</w:t>
            </w:r>
          </w:p>
        </w:tc>
        <w:tc>
          <w:tcPr>
            <w:tcW w:w="1272" w:type="dxa"/>
            <w:shd w:val="clear" w:color="auto" w:fill="D9D9D9" w:themeFill="background1" w:themeFillShade="D9"/>
          </w:tcPr>
          <w:p w14:paraId="02722C3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0.016</w:t>
            </w:r>
          </w:p>
        </w:tc>
        <w:tc>
          <w:tcPr>
            <w:tcW w:w="1273" w:type="dxa"/>
            <w:shd w:val="clear" w:color="auto" w:fill="D9D9D9" w:themeFill="background1" w:themeFillShade="D9"/>
            <w:vAlign w:val="bottom"/>
          </w:tcPr>
          <w:p w14:paraId="71178DC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0.41</w:t>
            </w:r>
          </w:p>
        </w:tc>
      </w:tr>
      <w:tr w:rsidR="00976D7C" w:rsidRPr="006F151C" w14:paraId="5C05F9EE"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560CA3D5"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3DF610F9"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shd w:val="clear" w:color="auto" w:fill="D9D9D9" w:themeFill="background1" w:themeFillShade="D9"/>
          </w:tcPr>
          <w:p w14:paraId="23F5FE3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shd w:val="clear" w:color="auto" w:fill="D9D9D9" w:themeFill="background1" w:themeFillShade="D9"/>
          </w:tcPr>
          <w:p w14:paraId="2F25808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24</w:t>
            </w:r>
          </w:p>
        </w:tc>
        <w:tc>
          <w:tcPr>
            <w:tcW w:w="1272" w:type="dxa"/>
            <w:shd w:val="clear" w:color="auto" w:fill="D9D9D9" w:themeFill="background1" w:themeFillShade="D9"/>
          </w:tcPr>
          <w:p w14:paraId="4CC1B0D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0.024</w:t>
            </w:r>
          </w:p>
        </w:tc>
        <w:tc>
          <w:tcPr>
            <w:tcW w:w="1273" w:type="dxa"/>
            <w:shd w:val="clear" w:color="auto" w:fill="D9D9D9" w:themeFill="background1" w:themeFillShade="D9"/>
            <w:vAlign w:val="bottom"/>
          </w:tcPr>
          <w:p w14:paraId="3DAAC9A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0.61</w:t>
            </w:r>
          </w:p>
        </w:tc>
      </w:tr>
      <w:tr w:rsidR="00976D7C" w:rsidRPr="006F151C" w14:paraId="48714034"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6C52147F" w14:textId="77777777" w:rsidR="00976D7C" w:rsidRPr="006F151C" w:rsidRDefault="00976D7C" w:rsidP="00EE2A65">
            <w:pPr>
              <w:pStyle w:val="BodyText"/>
              <w:spacing w:after="0" w:line="240" w:lineRule="auto"/>
              <w:ind w:left="480"/>
              <w:rPr>
                <w:rFonts w:ascii="Arial" w:hAnsi="Arial" w:cs="Arial"/>
              </w:rPr>
            </w:pPr>
          </w:p>
        </w:tc>
        <w:tc>
          <w:tcPr>
            <w:tcW w:w="1571" w:type="dxa"/>
            <w:vMerge w:val="restart"/>
            <w:shd w:val="clear" w:color="auto" w:fill="D9E2F3" w:themeFill="accent1" w:themeFillTint="33"/>
            <w:vAlign w:val="center"/>
          </w:tcPr>
          <w:p w14:paraId="23E941B4"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Conventional HDPE cages</w:t>
            </w:r>
          </w:p>
        </w:tc>
        <w:tc>
          <w:tcPr>
            <w:tcW w:w="1364" w:type="dxa"/>
            <w:shd w:val="clear" w:color="auto" w:fill="D9E2F3" w:themeFill="accent1" w:themeFillTint="33"/>
            <w:vAlign w:val="center"/>
          </w:tcPr>
          <w:p w14:paraId="468A49B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shd w:val="clear" w:color="auto" w:fill="D9E2F3" w:themeFill="accent1" w:themeFillTint="33"/>
            <w:vAlign w:val="center"/>
          </w:tcPr>
          <w:p w14:paraId="423ADB94"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20 P100</w:t>
            </w:r>
          </w:p>
        </w:tc>
        <w:tc>
          <w:tcPr>
            <w:tcW w:w="1272" w:type="dxa"/>
            <w:shd w:val="clear" w:color="auto" w:fill="D9E2F3" w:themeFill="accent1" w:themeFillTint="33"/>
            <w:vAlign w:val="center"/>
          </w:tcPr>
          <w:p w14:paraId="67069E6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0.13</w:t>
            </w:r>
          </w:p>
        </w:tc>
        <w:tc>
          <w:tcPr>
            <w:tcW w:w="1273" w:type="dxa"/>
            <w:shd w:val="clear" w:color="auto" w:fill="D9E2F3" w:themeFill="accent1" w:themeFillTint="33"/>
            <w:vAlign w:val="center"/>
          </w:tcPr>
          <w:p w14:paraId="03F77C89"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2.90</w:t>
            </w:r>
          </w:p>
        </w:tc>
      </w:tr>
      <w:tr w:rsidR="00976D7C" w:rsidRPr="006F151C" w14:paraId="66F5F7E0"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3BB8D9B7"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3D851E9E"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shd w:val="clear" w:color="auto" w:fill="D9E2F3" w:themeFill="accent1" w:themeFillTint="33"/>
            <w:vAlign w:val="center"/>
          </w:tcPr>
          <w:p w14:paraId="36F464C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shd w:val="clear" w:color="auto" w:fill="D9E2F3" w:themeFill="accent1" w:themeFillTint="33"/>
            <w:vAlign w:val="center"/>
          </w:tcPr>
          <w:p w14:paraId="58CABD7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30 P100</w:t>
            </w:r>
          </w:p>
        </w:tc>
        <w:tc>
          <w:tcPr>
            <w:tcW w:w="1272" w:type="dxa"/>
            <w:shd w:val="clear" w:color="auto" w:fill="D9E2F3" w:themeFill="accent1" w:themeFillTint="33"/>
            <w:vAlign w:val="center"/>
          </w:tcPr>
          <w:p w14:paraId="74D29D1F"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0.19</w:t>
            </w:r>
          </w:p>
        </w:tc>
        <w:tc>
          <w:tcPr>
            <w:tcW w:w="1273" w:type="dxa"/>
            <w:shd w:val="clear" w:color="auto" w:fill="D9E2F3" w:themeFill="accent1" w:themeFillTint="33"/>
            <w:vAlign w:val="center"/>
          </w:tcPr>
          <w:p w14:paraId="4EE29EE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3.90</w:t>
            </w:r>
          </w:p>
        </w:tc>
      </w:tr>
      <w:tr w:rsidR="00976D7C" w:rsidRPr="006F151C" w14:paraId="5DC2DC3D"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Mar>
              <w:left w:w="28" w:type="dxa"/>
              <w:right w:w="28" w:type="dxa"/>
            </w:tcMar>
            <w:vAlign w:val="center"/>
          </w:tcPr>
          <w:p w14:paraId="053339ED" w14:textId="77777777" w:rsidR="00976D7C" w:rsidRPr="006F151C" w:rsidRDefault="00976D7C" w:rsidP="00EE2A65">
            <w:pPr>
              <w:pStyle w:val="BodyText"/>
              <w:spacing w:after="0" w:line="240" w:lineRule="auto"/>
              <w:ind w:left="480"/>
              <w:rPr>
                <w:rFonts w:ascii="Arial" w:hAnsi="Arial" w:cs="Arial"/>
              </w:rPr>
            </w:pPr>
          </w:p>
        </w:tc>
        <w:tc>
          <w:tcPr>
            <w:tcW w:w="1571" w:type="dxa"/>
            <w:vMerge/>
            <w:vAlign w:val="center"/>
          </w:tcPr>
          <w:p w14:paraId="1941DBA4"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shd w:val="clear" w:color="auto" w:fill="D9E2F3" w:themeFill="accent1" w:themeFillTint="33"/>
            <w:vAlign w:val="center"/>
          </w:tcPr>
          <w:p w14:paraId="0E93F24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shd w:val="clear" w:color="auto" w:fill="D9E2F3" w:themeFill="accent1" w:themeFillTint="33"/>
            <w:vAlign w:val="center"/>
          </w:tcPr>
          <w:p w14:paraId="5CC35800"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50 P100</w:t>
            </w:r>
          </w:p>
        </w:tc>
        <w:tc>
          <w:tcPr>
            <w:tcW w:w="1272" w:type="dxa"/>
            <w:shd w:val="clear" w:color="auto" w:fill="D9E2F3" w:themeFill="accent1" w:themeFillTint="33"/>
            <w:vAlign w:val="center"/>
          </w:tcPr>
          <w:p w14:paraId="4D13E4A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0.32</w:t>
            </w:r>
          </w:p>
        </w:tc>
        <w:tc>
          <w:tcPr>
            <w:tcW w:w="1273" w:type="dxa"/>
            <w:shd w:val="clear" w:color="auto" w:fill="D9E2F3" w:themeFill="accent1" w:themeFillTint="33"/>
            <w:vAlign w:val="center"/>
          </w:tcPr>
          <w:p w14:paraId="0F37765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5.63</w:t>
            </w:r>
          </w:p>
        </w:tc>
      </w:tr>
      <w:tr w:rsidR="00976D7C" w:rsidRPr="006F151C" w14:paraId="7D89356E"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val="restart"/>
            <w:tcMar>
              <w:left w:w="28" w:type="dxa"/>
              <w:right w:w="28" w:type="dxa"/>
            </w:tcMar>
            <w:vAlign w:val="center"/>
          </w:tcPr>
          <w:p w14:paraId="1787EFB2"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OS4. Aphrodite Hills (near Paphos)</w:t>
            </w:r>
          </w:p>
          <w:p w14:paraId="550349D8" w14:textId="77777777" w:rsidR="00976D7C" w:rsidRPr="006F151C" w:rsidRDefault="00976D7C" w:rsidP="00EE2A65">
            <w:pPr>
              <w:pStyle w:val="BodyText"/>
              <w:spacing w:after="0" w:line="240" w:lineRule="auto"/>
              <w:jc w:val="center"/>
              <w:rPr>
                <w:rFonts w:ascii="Arial" w:hAnsi="Arial" w:cs="Arial"/>
              </w:rPr>
            </w:pPr>
          </w:p>
          <w:p w14:paraId="7A34B690" w14:textId="77777777" w:rsidR="00976D7C" w:rsidRPr="006F151C" w:rsidRDefault="00976D7C" w:rsidP="00EE2A65">
            <w:pPr>
              <w:pStyle w:val="BodyText"/>
              <w:spacing w:after="0" w:line="240" w:lineRule="auto"/>
              <w:jc w:val="center"/>
              <w:rPr>
                <w:rFonts w:ascii="Arial" w:hAnsi="Arial" w:cs="Arial"/>
              </w:rPr>
            </w:pPr>
            <w:r w:rsidRPr="006F151C">
              <w:rPr>
                <w:rFonts w:ascii="Arial" w:hAnsi="Arial" w:cs="Arial"/>
              </w:rPr>
              <w:t>120 m</w:t>
            </w:r>
          </w:p>
        </w:tc>
        <w:tc>
          <w:tcPr>
            <w:tcW w:w="1571" w:type="dxa"/>
            <w:vMerge w:val="restart"/>
            <w:vAlign w:val="center"/>
          </w:tcPr>
          <w:p w14:paraId="534C9D02"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6F151C">
              <w:rPr>
                <w:rFonts w:ascii="Arial" w:hAnsi="Arial" w:cs="Arial"/>
              </w:rPr>
              <w:t>Badinotti’s</w:t>
            </w:r>
            <w:proofErr w:type="spellEnd"/>
            <w:r w:rsidRPr="006F151C">
              <w:rPr>
                <w:rFonts w:ascii="Arial" w:hAnsi="Arial" w:cs="Arial"/>
              </w:rPr>
              <w:t xml:space="preserve"> Oceanis1</w:t>
            </w:r>
          </w:p>
        </w:tc>
        <w:tc>
          <w:tcPr>
            <w:tcW w:w="1364" w:type="dxa"/>
          </w:tcPr>
          <w:p w14:paraId="3D3048BE"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2,000</w:t>
            </w:r>
          </w:p>
        </w:tc>
        <w:tc>
          <w:tcPr>
            <w:tcW w:w="1176" w:type="dxa"/>
          </w:tcPr>
          <w:p w14:paraId="006373E6"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30</w:t>
            </w:r>
          </w:p>
        </w:tc>
        <w:tc>
          <w:tcPr>
            <w:tcW w:w="1272" w:type="dxa"/>
          </w:tcPr>
          <w:p w14:paraId="0261EDFD"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0.12</w:t>
            </w:r>
          </w:p>
        </w:tc>
        <w:tc>
          <w:tcPr>
            <w:tcW w:w="1273" w:type="dxa"/>
            <w:vAlign w:val="bottom"/>
          </w:tcPr>
          <w:p w14:paraId="01F3B591"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3.25</w:t>
            </w:r>
          </w:p>
        </w:tc>
      </w:tr>
      <w:tr w:rsidR="00976D7C" w:rsidRPr="006F151C" w14:paraId="4FB42695"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Pr>
          <w:p w14:paraId="13D3BF01" w14:textId="77777777" w:rsidR="00976D7C" w:rsidRPr="006F151C" w:rsidRDefault="00976D7C" w:rsidP="00EE2A65">
            <w:pPr>
              <w:pStyle w:val="BodyText"/>
              <w:spacing w:after="0" w:line="240" w:lineRule="auto"/>
              <w:ind w:left="480"/>
              <w:jc w:val="both"/>
              <w:rPr>
                <w:rFonts w:ascii="Arial" w:hAnsi="Arial" w:cs="Arial"/>
              </w:rPr>
            </w:pPr>
          </w:p>
        </w:tc>
        <w:tc>
          <w:tcPr>
            <w:tcW w:w="1571" w:type="dxa"/>
            <w:vMerge/>
          </w:tcPr>
          <w:p w14:paraId="3D5332CD"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Pr>
          <w:p w14:paraId="3BD0A71C"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3,000</w:t>
            </w:r>
          </w:p>
        </w:tc>
        <w:tc>
          <w:tcPr>
            <w:tcW w:w="1176" w:type="dxa"/>
          </w:tcPr>
          <w:p w14:paraId="4EA79F55"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47</w:t>
            </w:r>
          </w:p>
        </w:tc>
        <w:tc>
          <w:tcPr>
            <w:tcW w:w="1272" w:type="dxa"/>
          </w:tcPr>
          <w:p w14:paraId="0F9868A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0.18</w:t>
            </w:r>
          </w:p>
        </w:tc>
        <w:tc>
          <w:tcPr>
            <w:tcW w:w="1273" w:type="dxa"/>
            <w:vAlign w:val="bottom"/>
          </w:tcPr>
          <w:p w14:paraId="64F2BFC7"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4.55</w:t>
            </w:r>
          </w:p>
        </w:tc>
      </w:tr>
      <w:tr w:rsidR="00976D7C" w:rsidRPr="006F151C" w14:paraId="3D8B5620" w14:textId="77777777" w:rsidTr="00EE2A65">
        <w:tc>
          <w:tcPr>
            <w:cnfStyle w:val="001000000000" w:firstRow="0" w:lastRow="0" w:firstColumn="1" w:lastColumn="0" w:oddVBand="0" w:evenVBand="0" w:oddHBand="0" w:evenHBand="0" w:firstRowFirstColumn="0" w:firstRowLastColumn="0" w:lastRowFirstColumn="0" w:lastRowLastColumn="0"/>
            <w:tcW w:w="2405" w:type="dxa"/>
            <w:vMerge/>
          </w:tcPr>
          <w:p w14:paraId="4D39148B" w14:textId="77777777" w:rsidR="00976D7C" w:rsidRPr="006F151C" w:rsidRDefault="00976D7C" w:rsidP="00EE2A65">
            <w:pPr>
              <w:pStyle w:val="BodyText"/>
              <w:spacing w:after="0" w:line="240" w:lineRule="auto"/>
              <w:ind w:left="480"/>
              <w:jc w:val="both"/>
              <w:rPr>
                <w:rFonts w:ascii="Arial" w:hAnsi="Arial" w:cs="Arial"/>
              </w:rPr>
            </w:pPr>
          </w:p>
        </w:tc>
        <w:tc>
          <w:tcPr>
            <w:tcW w:w="1571" w:type="dxa"/>
            <w:vMerge/>
          </w:tcPr>
          <w:p w14:paraId="21D60059" w14:textId="77777777" w:rsidR="00976D7C" w:rsidRPr="006F151C" w:rsidRDefault="00976D7C" w:rsidP="00EE2A65">
            <w:pPr>
              <w:pStyle w:val="BodyText"/>
              <w:spacing w:after="0" w:line="24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364" w:type="dxa"/>
          </w:tcPr>
          <w:p w14:paraId="29D826BB"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6F151C">
              <w:rPr>
                <w:rFonts w:ascii="Arial" w:hAnsi="Arial" w:cs="Arial"/>
              </w:rPr>
              <w:t>5,000</w:t>
            </w:r>
          </w:p>
        </w:tc>
        <w:tc>
          <w:tcPr>
            <w:tcW w:w="1176" w:type="dxa"/>
          </w:tcPr>
          <w:p w14:paraId="6452A9F3"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78</w:t>
            </w:r>
          </w:p>
        </w:tc>
        <w:tc>
          <w:tcPr>
            <w:tcW w:w="1272" w:type="dxa"/>
          </w:tcPr>
          <w:p w14:paraId="524EBD32"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0.30</w:t>
            </w:r>
          </w:p>
        </w:tc>
        <w:tc>
          <w:tcPr>
            <w:tcW w:w="1273" w:type="dxa"/>
            <w:vAlign w:val="bottom"/>
          </w:tcPr>
          <w:p w14:paraId="31BD12EA" w14:textId="77777777" w:rsidR="00976D7C" w:rsidRPr="006F151C" w:rsidRDefault="00976D7C" w:rsidP="00EE2A65">
            <w:pPr>
              <w:pStyle w:val="BodyText"/>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F151C">
              <w:rPr>
                <w:rFonts w:ascii="Arial" w:hAnsi="Arial" w:cs="Arial"/>
                <w:color w:val="auto"/>
              </w:rPr>
              <w:t>6.71</w:t>
            </w:r>
          </w:p>
        </w:tc>
      </w:tr>
    </w:tbl>
    <w:p w14:paraId="2573EF88" w14:textId="77777777" w:rsidR="00976D7C" w:rsidRPr="006F151C" w:rsidRDefault="00976D7C" w:rsidP="00976D7C">
      <w:pPr>
        <w:pStyle w:val="BodyText"/>
        <w:jc w:val="both"/>
        <w:rPr>
          <w:rFonts w:ascii="Arial" w:hAnsi="Arial" w:cs="Arial"/>
        </w:rPr>
      </w:pPr>
    </w:p>
    <w:p w14:paraId="1DA337A0" w14:textId="77777777" w:rsidR="00976D7C" w:rsidRDefault="00976D7C" w:rsidP="00976D7C">
      <w:pPr>
        <w:pStyle w:val="BodyText"/>
        <w:jc w:val="both"/>
        <w:rPr>
          <w:rFonts w:ascii="Arial" w:hAnsi="Arial" w:cs="Arial"/>
        </w:rPr>
      </w:pPr>
      <w:r w:rsidRPr="00CD3437">
        <w:rPr>
          <w:rFonts w:ascii="Arial" w:hAnsi="Arial" w:cs="Arial"/>
        </w:rPr>
        <w:t>This report reflects the outcomes of Task 3.</w:t>
      </w:r>
      <w:r w:rsidRPr="00E7711F">
        <w:rPr>
          <w:rFonts w:ascii="Arial" w:hAnsi="Arial" w:cs="Arial"/>
        </w:rPr>
        <w:t>4. Identifying potential Allocated Zones for Offshore Aquaculture</w:t>
      </w:r>
      <w:r>
        <w:rPr>
          <w:rFonts w:ascii="Arial" w:hAnsi="Arial" w:cs="Arial"/>
        </w:rPr>
        <w:t>.</w:t>
      </w:r>
    </w:p>
    <w:p w14:paraId="2193954F" w14:textId="77777777" w:rsidR="00976D7C" w:rsidRPr="006F151C" w:rsidRDefault="00976D7C" w:rsidP="00A2086C">
      <w:pPr>
        <w:pStyle w:val="BodyText"/>
        <w:jc w:val="both"/>
        <w:rPr>
          <w:rFonts w:ascii="Arial" w:hAnsi="Arial" w:cs="Arial"/>
        </w:rPr>
      </w:pPr>
    </w:p>
    <w:p w14:paraId="4220F653" w14:textId="77777777" w:rsidR="00DA6963" w:rsidRPr="006F151C" w:rsidRDefault="00DA6963">
      <w:pPr>
        <w:spacing w:before="0" w:after="160"/>
        <w:jc w:val="left"/>
        <w:rPr>
          <w:b/>
          <w:iCs/>
          <w:color w:val="595959" w:themeColor="text1" w:themeTint="A6"/>
          <w:sz w:val="20"/>
          <w:szCs w:val="18"/>
          <w:lang w:val="en-GB"/>
        </w:rPr>
      </w:pPr>
      <w:r w:rsidRPr="006F151C">
        <w:rPr>
          <w:lang w:val="en-GB"/>
        </w:rPr>
        <w:br w:type="page"/>
      </w:r>
    </w:p>
    <w:p w14:paraId="4EBE62C0" w14:textId="7C67F065" w:rsidR="00B73F66" w:rsidRPr="006F151C" w:rsidRDefault="00CF15E0" w:rsidP="00E7711F">
      <w:pPr>
        <w:pStyle w:val="Heading1"/>
        <w:numPr>
          <w:ilvl w:val="0"/>
          <w:numId w:val="40"/>
        </w:numPr>
        <w:rPr>
          <w:lang w:val="en-GB"/>
        </w:rPr>
      </w:pPr>
      <w:bookmarkStart w:id="8" w:name="_Toc145304813"/>
      <w:r w:rsidRPr="006F151C">
        <w:rPr>
          <w:lang w:val="en-GB"/>
        </w:rPr>
        <w:lastRenderedPageBreak/>
        <w:t>Model Setup</w:t>
      </w:r>
      <w:bookmarkEnd w:id="8"/>
    </w:p>
    <w:p w14:paraId="78DF4460" w14:textId="532DE3C7" w:rsidR="00CF15E0" w:rsidRPr="006F151C" w:rsidRDefault="00E7711F" w:rsidP="00E7711F">
      <w:pPr>
        <w:pStyle w:val="Heading2"/>
        <w:numPr>
          <w:ilvl w:val="1"/>
          <w:numId w:val="40"/>
        </w:numPr>
        <w:rPr>
          <w:lang w:val="en-GB"/>
        </w:rPr>
      </w:pPr>
      <w:bookmarkStart w:id="9" w:name="_Toc145304814"/>
      <w:r w:rsidRPr="00E7711F">
        <w:rPr>
          <w:lang w:val="en-GB"/>
        </w:rPr>
        <w:t>The AIM Model and its sub-models in Cyprus</w:t>
      </w:r>
      <w:bookmarkEnd w:id="9"/>
      <w:r w:rsidR="00CF15E0" w:rsidRPr="006F151C">
        <w:rPr>
          <w:lang w:val="en-GB"/>
        </w:rPr>
        <w:t xml:space="preserve"> </w:t>
      </w:r>
    </w:p>
    <w:p w14:paraId="6E63B100" w14:textId="77777777" w:rsidR="00E7711F" w:rsidRPr="00794983" w:rsidRDefault="00E7711F" w:rsidP="00E7711F">
      <w:pPr>
        <w:pStyle w:val="BodyText"/>
        <w:jc w:val="both"/>
        <w:rPr>
          <w:rFonts w:ascii="Arial" w:hAnsi="Arial" w:cs="Arial"/>
        </w:rPr>
      </w:pPr>
      <w:r w:rsidRPr="009169A7">
        <w:rPr>
          <w:rFonts w:ascii="Arial" w:hAnsi="Arial" w:cs="Arial"/>
        </w:rPr>
        <w:t xml:space="preserve">The Aquaculture Integrated Model (AIM, </w:t>
      </w:r>
      <w:proofErr w:type="spellStart"/>
      <w:r w:rsidRPr="009169A7">
        <w:rPr>
          <w:rFonts w:ascii="Arial" w:hAnsi="Arial" w:cs="Arial"/>
        </w:rPr>
        <w:t>Tsagaraki</w:t>
      </w:r>
      <w:proofErr w:type="spellEnd"/>
      <w:r w:rsidRPr="009169A7">
        <w:rPr>
          <w:rFonts w:ascii="Arial" w:hAnsi="Arial" w:cs="Arial"/>
        </w:rPr>
        <w:t xml:space="preserve"> et al., 2011</w:t>
      </w:r>
      <w:r>
        <w:rPr>
          <w:rFonts w:ascii="Arial" w:hAnsi="Arial" w:cs="Arial"/>
        </w:rPr>
        <w:t>; Tsiaras et al., 2022</w:t>
      </w:r>
      <w:r w:rsidRPr="009169A7">
        <w:rPr>
          <w:rFonts w:ascii="Arial" w:hAnsi="Arial" w:cs="Arial"/>
        </w:rPr>
        <w:t>), a modelling tool developed at the Hellenic Centre for Marine Research (HCMR), has been customized and implemented in the Cyprus area to assess the environmental impact of e</w:t>
      </w:r>
      <w:r>
        <w:rPr>
          <w:rFonts w:ascii="Arial" w:hAnsi="Arial" w:cs="Arial"/>
        </w:rPr>
        <w:t xml:space="preserve">xisting and future aquaculture. </w:t>
      </w:r>
      <w:r w:rsidRPr="009169A7">
        <w:rPr>
          <w:rFonts w:ascii="Arial" w:hAnsi="Arial" w:cs="Arial"/>
        </w:rPr>
        <w:t>The model setup</w:t>
      </w:r>
      <w:r>
        <w:rPr>
          <w:rFonts w:ascii="Arial" w:hAnsi="Arial" w:cs="Arial"/>
        </w:rPr>
        <w:t xml:space="preserve"> is briefly described below. More details may be found in D10. </w:t>
      </w:r>
    </w:p>
    <w:p w14:paraId="018A3DD9" w14:textId="1FCFD1C1" w:rsidR="00E7711F" w:rsidRDefault="00E7711F" w:rsidP="00E7711F">
      <w:pPr>
        <w:pStyle w:val="BodyText"/>
        <w:jc w:val="both"/>
        <w:rPr>
          <w:rFonts w:ascii="Arial" w:hAnsi="Arial" w:cs="Arial"/>
        </w:rPr>
      </w:pPr>
      <w:r w:rsidRPr="00794983">
        <w:rPr>
          <w:rFonts w:ascii="Arial" w:hAnsi="Arial" w:cs="Arial"/>
        </w:rPr>
        <w:t xml:space="preserve">The </w:t>
      </w:r>
      <w:r w:rsidRPr="009169A7">
        <w:rPr>
          <w:rFonts w:ascii="Arial" w:hAnsi="Arial" w:cs="Arial"/>
        </w:rPr>
        <w:t xml:space="preserve">Aquaculture Integrated Model </w:t>
      </w:r>
      <w:r>
        <w:rPr>
          <w:rFonts w:ascii="Arial" w:hAnsi="Arial" w:cs="Arial"/>
        </w:rPr>
        <w:t>(AIM) consists of a comprehensive generic biogeochemical model, based on ERSEM (</w:t>
      </w:r>
      <w:r w:rsidRPr="00794983">
        <w:rPr>
          <w:rFonts w:ascii="Arial" w:hAnsi="Arial" w:cs="Arial"/>
        </w:rPr>
        <w:t>Baretta et al., 1995</w:t>
      </w:r>
      <w:r>
        <w:rPr>
          <w:rFonts w:ascii="Arial" w:hAnsi="Arial" w:cs="Arial"/>
        </w:rPr>
        <w:t xml:space="preserve">; Kalaroni et al., 2020), which is coupled with a </w:t>
      </w:r>
      <w:r w:rsidR="00330B55" w:rsidRPr="00794983">
        <w:rPr>
          <w:rFonts w:ascii="Arial" w:hAnsi="Arial" w:cs="Arial"/>
        </w:rPr>
        <w:t>three</w:t>
      </w:r>
      <w:r w:rsidR="00330B55">
        <w:rPr>
          <w:rFonts w:ascii="Arial" w:hAnsi="Arial" w:cs="Arial"/>
        </w:rPr>
        <w:t>-</w:t>
      </w:r>
      <w:r w:rsidRPr="00794983">
        <w:rPr>
          <w:rFonts w:ascii="Arial" w:hAnsi="Arial" w:cs="Arial"/>
        </w:rPr>
        <w:t>dimensional (3-D) hydrodynamic model</w:t>
      </w:r>
      <w:r>
        <w:rPr>
          <w:rFonts w:ascii="Arial" w:hAnsi="Arial" w:cs="Arial"/>
        </w:rPr>
        <w:t>,</w:t>
      </w:r>
      <w:r w:rsidRPr="00794983">
        <w:rPr>
          <w:rFonts w:ascii="Arial" w:hAnsi="Arial" w:cs="Arial"/>
        </w:rPr>
        <w:t xml:space="preserve"> </w:t>
      </w:r>
      <w:r>
        <w:rPr>
          <w:rFonts w:ascii="Arial" w:hAnsi="Arial" w:cs="Arial"/>
        </w:rPr>
        <w:t xml:space="preserve">based on </w:t>
      </w:r>
      <w:r w:rsidRPr="00794983">
        <w:rPr>
          <w:rFonts w:ascii="Arial" w:hAnsi="Arial" w:cs="Arial"/>
        </w:rPr>
        <w:t>Princeton Ocean Model (POM; Blumberg and Mellor, 198</w:t>
      </w:r>
      <w:r>
        <w:rPr>
          <w:rFonts w:ascii="Arial" w:hAnsi="Arial" w:cs="Arial"/>
        </w:rPr>
        <w:t>3</w:t>
      </w:r>
      <w:r w:rsidRPr="00794983">
        <w:rPr>
          <w:rFonts w:ascii="Arial" w:hAnsi="Arial" w:cs="Arial"/>
        </w:rPr>
        <w:t>)</w:t>
      </w:r>
      <w:r>
        <w:rPr>
          <w:rFonts w:ascii="Arial" w:hAnsi="Arial" w:cs="Arial"/>
        </w:rPr>
        <w:t>.</w:t>
      </w:r>
      <w:r w:rsidRPr="00794983">
        <w:rPr>
          <w:rFonts w:ascii="Arial" w:hAnsi="Arial" w:cs="Arial"/>
        </w:rPr>
        <w:t xml:space="preserve"> </w:t>
      </w:r>
      <w:r w:rsidRPr="778BF37A">
        <w:rPr>
          <w:rFonts w:ascii="Arial" w:hAnsi="Arial" w:cs="Arial"/>
        </w:rPr>
        <w:t>A series of nested models (</w:t>
      </w:r>
      <w:r>
        <w:rPr>
          <w:rFonts w:ascii="Arial" w:hAnsi="Arial" w:cs="Arial"/>
        </w:rPr>
        <w:t>see Fig. 1</w:t>
      </w:r>
      <w:r w:rsidRPr="778BF37A">
        <w:rPr>
          <w:rFonts w:ascii="Arial" w:hAnsi="Arial" w:cs="Arial"/>
        </w:rPr>
        <w:t xml:space="preserve">) is used to consistently downscale the hydrodynamics and biogeochemistry from the coarse resolution (~5 km horizontal resolution) model, covering the entire Mediterranean, to </w:t>
      </w:r>
      <w:r>
        <w:rPr>
          <w:rFonts w:ascii="Arial" w:hAnsi="Arial" w:cs="Arial"/>
        </w:rPr>
        <w:t xml:space="preserve">fine-resolution (100-400m resolution) models in the Cyprus coastal areas. First, the basin-scale Mediterranean model (MED20) is downscaled to </w:t>
      </w:r>
      <w:r w:rsidRPr="778BF37A">
        <w:rPr>
          <w:rFonts w:ascii="Arial" w:hAnsi="Arial" w:cs="Arial"/>
        </w:rPr>
        <w:t>a model</w:t>
      </w:r>
      <w:r>
        <w:rPr>
          <w:rFonts w:ascii="Arial" w:hAnsi="Arial" w:cs="Arial"/>
        </w:rPr>
        <w:t xml:space="preserve"> with higher</w:t>
      </w:r>
      <w:r w:rsidRPr="778BF37A">
        <w:rPr>
          <w:rFonts w:ascii="Arial" w:hAnsi="Arial" w:cs="Arial"/>
        </w:rPr>
        <w:t xml:space="preserve"> </w:t>
      </w:r>
      <w:r>
        <w:rPr>
          <w:rFonts w:ascii="Arial" w:hAnsi="Arial" w:cs="Arial"/>
        </w:rPr>
        <w:t>resolution (~4</w:t>
      </w:r>
      <w:r w:rsidRPr="778BF37A">
        <w:rPr>
          <w:rFonts w:ascii="Arial" w:hAnsi="Arial" w:cs="Arial"/>
        </w:rPr>
        <w:t>00m)</w:t>
      </w:r>
      <w:r>
        <w:rPr>
          <w:rFonts w:ascii="Arial" w:hAnsi="Arial" w:cs="Arial"/>
        </w:rPr>
        <w:t>, covering</w:t>
      </w:r>
      <w:r w:rsidRPr="778BF37A">
        <w:rPr>
          <w:rFonts w:ascii="Arial" w:hAnsi="Arial" w:cs="Arial"/>
        </w:rPr>
        <w:t xml:space="preserve"> </w:t>
      </w:r>
      <w:r>
        <w:rPr>
          <w:rFonts w:ascii="Arial" w:hAnsi="Arial" w:cs="Arial"/>
        </w:rPr>
        <w:t xml:space="preserve">the </w:t>
      </w:r>
      <w:smartTag w:uri="urn:schemas-microsoft-com:office:smarttags" w:element="country-region">
        <w:smartTag w:uri="urn:schemas-microsoft-com:office:smarttags" w:element="place">
          <w:r w:rsidRPr="778BF37A">
            <w:rPr>
              <w:rFonts w:ascii="Arial" w:hAnsi="Arial" w:cs="Arial"/>
            </w:rPr>
            <w:t>Cyprus</w:t>
          </w:r>
        </w:smartTag>
      </w:smartTag>
      <w:r w:rsidRPr="778BF37A">
        <w:rPr>
          <w:rFonts w:ascii="Arial" w:hAnsi="Arial" w:cs="Arial"/>
        </w:rPr>
        <w:t xml:space="preserve"> </w:t>
      </w:r>
      <w:r>
        <w:rPr>
          <w:rFonts w:ascii="Arial" w:hAnsi="Arial" w:cs="Arial"/>
        </w:rPr>
        <w:t>extended area (</w:t>
      </w:r>
      <w:proofErr w:type="spellStart"/>
      <w:r>
        <w:rPr>
          <w:rFonts w:ascii="Arial" w:hAnsi="Arial" w:cs="Arial"/>
        </w:rPr>
        <w:t>Cyp</w:t>
      </w:r>
      <w:proofErr w:type="spellEnd"/>
      <w:r>
        <w:rPr>
          <w:rFonts w:ascii="Arial" w:hAnsi="Arial" w:cs="Arial"/>
        </w:rPr>
        <w:t xml:space="preserve">-All, see Fig. 1). This model provides boundary conditions to </w:t>
      </w:r>
      <w:r w:rsidRPr="778BF37A">
        <w:rPr>
          <w:rFonts w:ascii="Arial" w:hAnsi="Arial" w:cs="Arial"/>
        </w:rPr>
        <w:t xml:space="preserve">three nested sub-models </w:t>
      </w:r>
      <w:r>
        <w:rPr>
          <w:rFonts w:ascii="Arial" w:hAnsi="Arial" w:cs="Arial"/>
        </w:rPr>
        <w:t>(Cyp-1, Cyp-2, Cyp-3, see Fig.1) with the same resolution (~4</w:t>
      </w:r>
      <w:r w:rsidRPr="778BF37A">
        <w:rPr>
          <w:rFonts w:ascii="Arial" w:hAnsi="Arial" w:cs="Arial"/>
        </w:rPr>
        <w:t>00m)</w:t>
      </w:r>
      <w:r>
        <w:rPr>
          <w:rFonts w:ascii="Arial" w:hAnsi="Arial" w:cs="Arial"/>
        </w:rPr>
        <w:t xml:space="preserve"> that cover the Cyprus coastal regions and are used to</w:t>
      </w:r>
      <w:r w:rsidRPr="778BF37A">
        <w:rPr>
          <w:rFonts w:ascii="Arial" w:hAnsi="Arial" w:cs="Arial"/>
        </w:rPr>
        <w:t xml:space="preserve"> evaluat</w:t>
      </w:r>
      <w:r>
        <w:rPr>
          <w:rFonts w:ascii="Arial" w:hAnsi="Arial" w:cs="Arial"/>
        </w:rPr>
        <w:t>e</w:t>
      </w:r>
      <w:r w:rsidRPr="778BF37A">
        <w:rPr>
          <w:rFonts w:ascii="Arial" w:hAnsi="Arial" w:cs="Arial"/>
        </w:rPr>
        <w:t xml:space="preserve"> the </w:t>
      </w:r>
      <w:r>
        <w:rPr>
          <w:rFonts w:ascii="Arial" w:hAnsi="Arial" w:cs="Arial"/>
        </w:rPr>
        <w:t xml:space="preserve">environmental impact of existing and </w:t>
      </w:r>
      <w:r w:rsidRPr="00794360">
        <w:rPr>
          <w:rFonts w:ascii="Arial" w:hAnsi="Arial" w:cs="Arial"/>
        </w:rPr>
        <w:t xml:space="preserve">future </w:t>
      </w:r>
      <w:r>
        <w:rPr>
          <w:rFonts w:ascii="Arial" w:hAnsi="Arial" w:cs="Arial"/>
        </w:rPr>
        <w:t>open s</w:t>
      </w:r>
      <w:r w:rsidRPr="000A1F62">
        <w:rPr>
          <w:rFonts w:ascii="Arial" w:hAnsi="Arial" w:cs="Arial"/>
        </w:rPr>
        <w:t xml:space="preserve">ea </w:t>
      </w:r>
      <w:r w:rsidRPr="00794360">
        <w:rPr>
          <w:rFonts w:ascii="Arial" w:hAnsi="Arial" w:cs="Arial"/>
        </w:rPr>
        <w:t>aquaculture</w:t>
      </w:r>
      <w:r>
        <w:rPr>
          <w:rFonts w:ascii="Arial" w:hAnsi="Arial" w:cs="Arial"/>
        </w:rPr>
        <w:t xml:space="preserve"> fish farms.</w:t>
      </w:r>
      <w:r w:rsidRPr="778BF37A">
        <w:rPr>
          <w:rFonts w:ascii="Arial" w:hAnsi="Arial" w:cs="Arial"/>
        </w:rPr>
        <w:t xml:space="preserve"> 11 </w:t>
      </w:r>
      <w:r>
        <w:rPr>
          <w:rFonts w:ascii="Arial" w:hAnsi="Arial" w:cs="Arial"/>
        </w:rPr>
        <w:t>existing fish farm units (see red dots in Fig. 1) were parameterized in</w:t>
      </w:r>
      <w:r w:rsidRPr="778BF37A">
        <w:rPr>
          <w:rFonts w:ascii="Arial" w:hAnsi="Arial" w:cs="Arial"/>
        </w:rPr>
        <w:t xml:space="preserve"> </w:t>
      </w:r>
      <w:r>
        <w:rPr>
          <w:rFonts w:ascii="Arial" w:hAnsi="Arial" w:cs="Arial"/>
        </w:rPr>
        <w:t>sub-models Cyp-1 and Cyp-2.</w:t>
      </w:r>
      <w:r w:rsidRPr="778BF37A">
        <w:rPr>
          <w:rFonts w:ascii="Arial" w:hAnsi="Arial" w:cs="Arial"/>
        </w:rPr>
        <w:t xml:space="preserve"> </w:t>
      </w:r>
      <w:r>
        <w:rPr>
          <w:rFonts w:ascii="Arial" w:hAnsi="Arial" w:cs="Arial"/>
        </w:rPr>
        <w:t xml:space="preserve">Additionally, four open sea fish farms were </w:t>
      </w:r>
      <w:r w:rsidR="00330B55">
        <w:rPr>
          <w:rFonts w:ascii="Arial" w:hAnsi="Arial" w:cs="Arial"/>
        </w:rPr>
        <w:t xml:space="preserve">parameterized </w:t>
      </w:r>
      <w:r>
        <w:rPr>
          <w:rFonts w:ascii="Arial" w:hAnsi="Arial" w:cs="Arial"/>
        </w:rPr>
        <w:t xml:space="preserve">in the selected areas (see green dots in Fig.1): </w:t>
      </w:r>
    </w:p>
    <w:p w14:paraId="2F73503A" w14:textId="77777777" w:rsidR="00E7711F" w:rsidRPr="001B2351" w:rsidRDefault="00E7711F" w:rsidP="00E7711F">
      <w:pPr>
        <w:rPr>
          <w:highlight w:val="white"/>
        </w:rPr>
      </w:pPr>
    </w:p>
    <w:p w14:paraId="75D982DB" w14:textId="77777777" w:rsidR="00E7711F" w:rsidRPr="00794360" w:rsidRDefault="00E7711F" w:rsidP="00E7711F">
      <w:pPr>
        <w:pStyle w:val="BodyText"/>
        <w:numPr>
          <w:ilvl w:val="0"/>
          <w:numId w:val="35"/>
        </w:numPr>
        <w:jc w:val="both"/>
        <w:rPr>
          <w:rFonts w:ascii="Arial" w:hAnsi="Arial" w:cs="Arial"/>
        </w:rPr>
      </w:pPr>
      <w:r w:rsidRPr="00794360">
        <w:rPr>
          <w:rFonts w:ascii="Arial" w:hAnsi="Arial" w:cs="Arial"/>
        </w:rPr>
        <w:t>Xylofagou West (point 2)</w:t>
      </w:r>
    </w:p>
    <w:p w14:paraId="347E0355" w14:textId="77777777" w:rsidR="00E7711F" w:rsidRPr="00794360" w:rsidRDefault="00E7711F" w:rsidP="00E7711F">
      <w:pPr>
        <w:pStyle w:val="BodyText"/>
        <w:numPr>
          <w:ilvl w:val="0"/>
          <w:numId w:val="35"/>
        </w:numPr>
        <w:jc w:val="both"/>
        <w:rPr>
          <w:rFonts w:ascii="Arial" w:hAnsi="Arial" w:cs="Arial"/>
        </w:rPr>
      </w:pPr>
      <w:r w:rsidRPr="00794360">
        <w:rPr>
          <w:rFonts w:ascii="Arial" w:hAnsi="Arial" w:cs="Arial"/>
        </w:rPr>
        <w:t>Larnaca (point 3)</w:t>
      </w:r>
    </w:p>
    <w:p w14:paraId="6152A82C" w14:textId="77777777" w:rsidR="00E7711F" w:rsidRPr="00794360" w:rsidRDefault="00E7711F" w:rsidP="00E7711F">
      <w:pPr>
        <w:pStyle w:val="BodyText"/>
        <w:numPr>
          <w:ilvl w:val="0"/>
          <w:numId w:val="35"/>
        </w:numPr>
        <w:jc w:val="both"/>
        <w:rPr>
          <w:rFonts w:ascii="Arial" w:hAnsi="Arial" w:cs="Arial"/>
        </w:rPr>
      </w:pPr>
      <w:r w:rsidRPr="00794360">
        <w:rPr>
          <w:rFonts w:ascii="Arial" w:hAnsi="Arial" w:cs="Arial"/>
        </w:rPr>
        <w:t>Governor’s Beach (</w:t>
      </w:r>
      <w:proofErr w:type="spellStart"/>
      <w:r w:rsidRPr="00794360">
        <w:rPr>
          <w:rFonts w:ascii="Arial" w:hAnsi="Arial" w:cs="Arial"/>
        </w:rPr>
        <w:t>Center</w:t>
      </w:r>
      <w:proofErr w:type="spellEnd"/>
      <w:r w:rsidRPr="00794360">
        <w:rPr>
          <w:rFonts w:ascii="Arial" w:hAnsi="Arial" w:cs="Arial"/>
        </w:rPr>
        <w:t xml:space="preserve"> &amp; East) (point 6)</w:t>
      </w:r>
    </w:p>
    <w:p w14:paraId="3B0A8716" w14:textId="77777777" w:rsidR="00E7711F" w:rsidRPr="00794360" w:rsidRDefault="00E7711F" w:rsidP="00E7711F">
      <w:pPr>
        <w:pStyle w:val="BodyText"/>
        <w:numPr>
          <w:ilvl w:val="0"/>
          <w:numId w:val="35"/>
        </w:numPr>
        <w:jc w:val="both"/>
        <w:rPr>
          <w:rFonts w:ascii="Arial" w:hAnsi="Arial" w:cs="Arial"/>
        </w:rPr>
      </w:pPr>
      <w:smartTag w:uri="urn:schemas-microsoft-com:office:smarttags" w:element="place">
        <w:smartTag w:uri="urn:schemas-microsoft-com:office:smarttags" w:element="PlaceName">
          <w:r w:rsidRPr="00794360">
            <w:rPr>
              <w:rFonts w:ascii="Arial" w:hAnsi="Arial" w:cs="Arial"/>
            </w:rPr>
            <w:t>Aphrodite</w:t>
          </w:r>
        </w:smartTag>
        <w:r w:rsidRPr="00794360">
          <w:rPr>
            <w:rFonts w:ascii="Arial" w:hAnsi="Arial" w:cs="Arial"/>
          </w:rPr>
          <w:t xml:space="preserve"> </w:t>
        </w:r>
        <w:smartTag w:uri="urn:schemas-microsoft-com:office:smarttags" w:element="PlaceName">
          <w:r w:rsidRPr="00794360">
            <w:rPr>
              <w:rFonts w:ascii="Arial" w:hAnsi="Arial" w:cs="Arial"/>
            </w:rPr>
            <w:t>Hills</w:t>
          </w:r>
        </w:smartTag>
      </w:smartTag>
      <w:r w:rsidRPr="00794360">
        <w:rPr>
          <w:rFonts w:ascii="Arial" w:hAnsi="Arial" w:cs="Arial"/>
        </w:rPr>
        <w:t xml:space="preserve"> (point 7)</w:t>
      </w:r>
    </w:p>
    <w:p w14:paraId="1DED2E70" w14:textId="77777777" w:rsidR="00E7711F" w:rsidRDefault="00E7711F" w:rsidP="00E7711F">
      <w:pPr>
        <w:rPr>
          <w:highlight w:val="yellow"/>
          <w:lang w:val="es-ES"/>
        </w:rPr>
      </w:pPr>
    </w:p>
    <w:p w14:paraId="2F1B3131" w14:textId="77777777" w:rsidR="00E7711F" w:rsidRPr="00207E80" w:rsidRDefault="00E7711F" w:rsidP="00E7711F">
      <w:pPr>
        <w:rPr>
          <w:rFonts w:cs="Arial"/>
          <w:szCs w:val="24"/>
        </w:rPr>
      </w:pPr>
      <w:r w:rsidRPr="00207E80">
        <w:rPr>
          <w:rFonts w:cs="Arial"/>
          <w:szCs w:val="24"/>
        </w:rPr>
        <w:t xml:space="preserve">Finally, two fine resolution (~100m) sub-models (Cyp-1fine, Cyp-2fine, see Fig.1), nested in Cyp-1 and Cyp-2 sub-models, are used to evaluate with better accuracy the environmental impact of existing and future open sea aquaculture farms in Governor’s Beach, </w:t>
      </w:r>
      <w:proofErr w:type="spellStart"/>
      <w:r w:rsidRPr="00207E80">
        <w:rPr>
          <w:rFonts w:cs="Arial"/>
          <w:szCs w:val="24"/>
        </w:rPr>
        <w:t>Xylofagou</w:t>
      </w:r>
      <w:proofErr w:type="spellEnd"/>
      <w:r w:rsidRPr="00207E80">
        <w:rPr>
          <w:rFonts w:cs="Arial"/>
          <w:szCs w:val="24"/>
        </w:rPr>
        <w:t xml:space="preserve"> and </w:t>
      </w:r>
      <w:proofErr w:type="spellStart"/>
      <w:r w:rsidRPr="00207E80">
        <w:rPr>
          <w:rFonts w:cs="Arial"/>
          <w:szCs w:val="24"/>
        </w:rPr>
        <w:t>Larnaka</w:t>
      </w:r>
      <w:proofErr w:type="spellEnd"/>
      <w:r w:rsidRPr="00207E80">
        <w:rPr>
          <w:rFonts w:cs="Arial"/>
          <w:szCs w:val="24"/>
        </w:rPr>
        <w:t xml:space="preserve"> selected areas.    </w:t>
      </w:r>
    </w:p>
    <w:p w14:paraId="413AE89C" w14:textId="77777777" w:rsidR="00E7711F" w:rsidRPr="00F83CD9" w:rsidRDefault="00E7711F" w:rsidP="00E7711F">
      <w:pPr>
        <w:rPr>
          <w:rFonts w:cs="Arial"/>
          <w:szCs w:val="24"/>
          <w:highlight w:val="yellow"/>
        </w:rPr>
      </w:pPr>
      <w:r w:rsidRPr="00F83CD9">
        <w:rPr>
          <w:rFonts w:cs="Arial"/>
          <w:szCs w:val="24"/>
        </w:rPr>
        <w:t>U</w:t>
      </w:r>
      <w:r w:rsidRPr="00F83CD9">
        <w:rPr>
          <w:rFonts w:cs="Arial"/>
          <w:szCs w:val="24"/>
          <w:lang w:val="en-GB"/>
        </w:rPr>
        <w:t>sing satellite mean (2015-2018) monthly sea surface temperatures data and</w:t>
      </w:r>
      <w:r w:rsidRPr="00F83CD9">
        <w:rPr>
          <w:rFonts w:cs="Arial"/>
          <w:szCs w:val="24"/>
        </w:rPr>
        <w:t xml:space="preserve"> monthly data on supplied feed, the released dissolved (NH</w:t>
      </w:r>
      <w:r w:rsidRPr="00F83CD9">
        <w:rPr>
          <w:rFonts w:cs="Arial"/>
          <w:szCs w:val="24"/>
          <w:vertAlign w:val="subscript"/>
        </w:rPr>
        <w:t>4</w:t>
      </w:r>
      <w:r w:rsidRPr="00F83CD9">
        <w:rPr>
          <w:rFonts w:cs="Arial"/>
          <w:szCs w:val="24"/>
        </w:rPr>
        <w:t>, PO</w:t>
      </w:r>
      <w:r w:rsidRPr="00F83CD9">
        <w:rPr>
          <w:rFonts w:cs="Arial"/>
          <w:szCs w:val="24"/>
          <w:vertAlign w:val="subscript"/>
        </w:rPr>
        <w:t>4</w:t>
      </w:r>
      <w:r w:rsidRPr="00F83CD9">
        <w:rPr>
          <w:rFonts w:cs="Arial"/>
          <w:szCs w:val="24"/>
        </w:rPr>
        <w:t xml:space="preserve">) and particulate (POC, PON, POP) effluents from each fish farm location were estimated on a monthly basis, </w:t>
      </w:r>
      <w:r w:rsidRPr="00F83CD9">
        <w:rPr>
          <w:rFonts w:cs="Arial"/>
          <w:szCs w:val="24"/>
          <w:lang w:val="en-GB"/>
        </w:rPr>
        <w:t>following mass balance calculations</w:t>
      </w:r>
      <w:r w:rsidRPr="00F83CD9">
        <w:rPr>
          <w:rFonts w:cs="Arial"/>
          <w:szCs w:val="24"/>
        </w:rPr>
        <w:t xml:space="preserve"> </w:t>
      </w:r>
      <w:r w:rsidRPr="00F83CD9">
        <w:rPr>
          <w:rFonts w:cs="Arial"/>
          <w:szCs w:val="24"/>
          <w:lang w:val="en-GB"/>
        </w:rPr>
        <w:t>in the four selected areas</w:t>
      </w:r>
      <w:r w:rsidRPr="00F83CD9">
        <w:rPr>
          <w:rFonts w:cs="Arial"/>
          <w:szCs w:val="24"/>
        </w:rPr>
        <w:t xml:space="preserve"> (see D11 for more details). These effluents were parameterized in the model, adopting an input flux (phosphate, ammonium or particulate organic matter) at the surface layer of the specified model grid points. </w:t>
      </w:r>
    </w:p>
    <w:p w14:paraId="0BFA9146" w14:textId="77777777" w:rsidR="00E7711F" w:rsidRPr="00794360" w:rsidRDefault="00E7711F" w:rsidP="00E7711F">
      <w:pPr>
        <w:spacing w:line="360" w:lineRule="auto"/>
        <w:rPr>
          <w:rFonts w:ascii="Cambria" w:hAnsi="Cambria" w:cs="Cambria"/>
          <w:noProof/>
          <w:lang w:val="en-GB"/>
        </w:rPr>
      </w:pPr>
      <w:r>
        <w:rPr>
          <w:noProof/>
          <w:lang w:val="en-GB" w:eastAsia="en-GB"/>
        </w:rPr>
        <w:lastRenderedPageBreak/>
        <mc:AlternateContent>
          <mc:Choice Requires="wps">
            <w:drawing>
              <wp:anchor distT="0" distB="0" distL="114300" distR="114300" simplePos="0" relativeHeight="251797505" behindDoc="0" locked="0" layoutInCell="1" allowOverlap="1" wp14:anchorId="5CDDB9B5" wp14:editId="412A4453">
                <wp:simplePos x="0" y="0"/>
                <wp:positionH relativeFrom="column">
                  <wp:posOffset>5257800</wp:posOffset>
                </wp:positionH>
                <wp:positionV relativeFrom="paragraph">
                  <wp:posOffset>1681480</wp:posOffset>
                </wp:positionV>
                <wp:extent cx="57150" cy="1495425"/>
                <wp:effectExtent l="57150" t="13335" r="9525" b="24765"/>
                <wp:wrapNone/>
                <wp:docPr id="283" name="Straight Connector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 cy="14954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3B150B" id="Straight Connector 283" o:spid="_x0000_s1026" style="position:absolute;flip:x;z-index:2517975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32.4pt" to="418.5pt,2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">
                <v:stroke endarrow="block"/>
              </v:line>
            </w:pict>
          </mc:Fallback>
        </mc:AlternateContent>
      </w:r>
      <w:r>
        <w:rPr>
          <w:noProof/>
          <w:lang w:val="en-GB" w:eastAsia="en-GB"/>
        </w:rPr>
        <mc:AlternateContent>
          <mc:Choice Requires="wps">
            <w:drawing>
              <wp:anchor distT="0" distB="0" distL="114300" distR="114300" simplePos="0" relativeHeight="251796481" behindDoc="0" locked="0" layoutInCell="1" allowOverlap="1" wp14:anchorId="0D8BE964" wp14:editId="4B854E82">
                <wp:simplePos x="0" y="0"/>
                <wp:positionH relativeFrom="column">
                  <wp:posOffset>323850</wp:posOffset>
                </wp:positionH>
                <wp:positionV relativeFrom="paragraph">
                  <wp:posOffset>1681480</wp:posOffset>
                </wp:positionV>
                <wp:extent cx="4772025" cy="1504950"/>
                <wp:effectExtent l="28575" t="13335" r="9525" b="53340"/>
                <wp:wrapNone/>
                <wp:docPr id="282" name="Straight Connector 2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72025" cy="150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965436" id="Straight Connector 282" o:spid="_x0000_s1026" style="position:absolute;flip:x;z-index:2517964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5pt,132.4pt" to="401.25pt,2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">
                <v:stroke endarrow="block"/>
              </v:line>
            </w:pict>
          </mc:Fallback>
        </mc:AlternateContent>
      </w:r>
      <w:r>
        <w:rPr>
          <w:noProof/>
          <w:lang w:val="en-GB" w:eastAsia="en-GB"/>
        </w:rPr>
        <mc:AlternateContent>
          <mc:Choice Requires="wps">
            <w:drawing>
              <wp:anchor distT="0" distB="0" distL="114300" distR="114300" simplePos="0" relativeHeight="251795457" behindDoc="0" locked="0" layoutInCell="1" allowOverlap="1" wp14:anchorId="5421BF5F" wp14:editId="2DB779CD">
                <wp:simplePos x="0" y="0"/>
                <wp:positionH relativeFrom="column">
                  <wp:posOffset>5086350</wp:posOffset>
                </wp:positionH>
                <wp:positionV relativeFrom="paragraph">
                  <wp:posOffset>1586230</wp:posOffset>
                </wp:positionV>
                <wp:extent cx="228600" cy="104775"/>
                <wp:effectExtent l="19050" t="13335" r="19050" b="15240"/>
                <wp:wrapNone/>
                <wp:docPr id="281"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04775"/>
                        </a:xfrm>
                        <a:prstGeom prst="rect">
                          <a:avLst/>
                        </a:prstGeom>
                        <a:noFill/>
                        <a:ln w="254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05DB0D" id="Rectangle 281" o:spid="_x0000_s1026" style="position:absolute;margin-left:400.5pt;margin-top:124.9pt;width:18pt;height:8.25pt;z-index:2517954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" filled="f" strokeweight="2pt"/>
            </w:pict>
          </mc:Fallback>
        </mc:AlternateContent>
      </w:r>
      <w:r w:rsidRPr="006560BA">
        <w:rPr>
          <w:rFonts w:ascii="Cambria" w:hAnsi="Cambria" w:cs="Cambria"/>
          <w:noProof/>
          <w:lang w:val="en-GB" w:eastAsia="en-GB"/>
        </w:rPr>
        <w:drawing>
          <wp:inline distT="0" distB="0" distL="0" distR="0" wp14:anchorId="72C88297" wp14:editId="1146C1E3">
            <wp:extent cx="5760720" cy="2834640"/>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3">
                      <a:extLst>
                        <a:ext uri="{28A0092B-C50C-407E-A947-70E740481C1C}">
                          <a14:useLocalDpi xmlns:a14="http://schemas.microsoft.com/office/drawing/2010/main" val="0"/>
                        </a:ext>
                      </a:extLst>
                    </a:blip>
                    <a:srcRect l="8252" t="8977" r="7426" b="15018"/>
                    <a:stretch>
                      <a:fillRect/>
                    </a:stretch>
                  </pic:blipFill>
                  <pic:spPr bwMode="auto">
                    <a:xfrm>
                      <a:off x="0" y="0"/>
                      <a:ext cx="5760720" cy="2834640"/>
                    </a:xfrm>
                    <a:prstGeom prst="rect">
                      <a:avLst/>
                    </a:prstGeom>
                    <a:noFill/>
                    <a:ln>
                      <a:noFill/>
                    </a:ln>
                  </pic:spPr>
                </pic:pic>
              </a:graphicData>
            </a:graphic>
          </wp:inline>
        </w:drawing>
      </w:r>
    </w:p>
    <w:p w14:paraId="26A3F3C9" w14:textId="77777777" w:rsidR="00E7711F" w:rsidRDefault="00E7711F" w:rsidP="00E7711F">
      <w:pPr>
        <w:spacing w:line="360" w:lineRule="auto"/>
        <w:rPr>
          <w:rFonts w:ascii="Cambria" w:hAnsi="Cambria" w:cs="Cambria"/>
          <w:noProof/>
        </w:rPr>
      </w:pPr>
      <w:r>
        <w:rPr>
          <w:noProof/>
          <w:lang w:val="en-GB" w:eastAsia="en-GB"/>
        </w:rPr>
        <mc:AlternateContent>
          <mc:Choice Requires="wps">
            <w:drawing>
              <wp:anchor distT="0" distB="0" distL="114300" distR="114300" simplePos="0" relativeHeight="251798529" behindDoc="0" locked="0" layoutInCell="1" allowOverlap="1" wp14:anchorId="6288CBA6" wp14:editId="34F98343">
                <wp:simplePos x="0" y="0"/>
                <wp:positionH relativeFrom="column">
                  <wp:posOffset>2562224</wp:posOffset>
                </wp:positionH>
                <wp:positionV relativeFrom="paragraph">
                  <wp:posOffset>1388110</wp:posOffset>
                </wp:positionV>
                <wp:extent cx="1419225" cy="1181100"/>
                <wp:effectExtent l="38100" t="0" r="28575" b="57150"/>
                <wp:wrapNone/>
                <wp:docPr id="280" name="Straight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19225" cy="11811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8D1088" id="Straight Connector 280" o:spid="_x0000_s1026" style="position:absolute;flip:x;z-index:2517985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75pt,109.3pt" to="313.5pt,20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">
                <v:stroke endarrow="block"/>
              </v:line>
            </w:pict>
          </mc:Fallback>
        </mc:AlternateContent>
      </w:r>
      <w:r>
        <w:rPr>
          <w:rFonts w:ascii="Cambria" w:hAnsi="Cambria" w:cs="Cambria"/>
          <w:noProof/>
          <w:lang w:val="en-GB" w:eastAsia="en-GB"/>
        </w:rPr>
        <w:drawing>
          <wp:inline distT="0" distB="0" distL="0" distR="0" wp14:anchorId="632D60A7" wp14:editId="5EE1D32A">
            <wp:extent cx="5800725" cy="233263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4">
                      <a:extLst>
                        <a:ext uri="{28A0092B-C50C-407E-A947-70E740481C1C}">
                          <a14:useLocalDpi xmlns:a14="http://schemas.microsoft.com/office/drawing/2010/main" val="0"/>
                        </a:ext>
                      </a:extLst>
                    </a:blip>
                    <a:srcRect l="8668" t="13758" r="6453" b="17813"/>
                    <a:stretch/>
                  </pic:blipFill>
                  <pic:spPr bwMode="auto">
                    <a:xfrm>
                      <a:off x="0" y="0"/>
                      <a:ext cx="5818565" cy="2339806"/>
                    </a:xfrm>
                    <a:prstGeom prst="rect">
                      <a:avLst/>
                    </a:prstGeom>
                    <a:ln>
                      <a:noFill/>
                    </a:ln>
                    <a:extLst>
                      <a:ext uri="{53640926-AAD7-44D8-BBD7-CCE9431645EC}">
                        <a14:shadowObscured xmlns:a14="http://schemas.microsoft.com/office/drawing/2010/main"/>
                      </a:ext>
                    </a:extLst>
                  </pic:spPr>
                </pic:pic>
              </a:graphicData>
            </a:graphic>
          </wp:inline>
        </w:drawing>
      </w:r>
    </w:p>
    <w:p w14:paraId="7ACC3930" w14:textId="77777777" w:rsidR="00E7711F" w:rsidRDefault="00E7711F" w:rsidP="00E7711F">
      <w:pPr>
        <w:spacing w:line="360" w:lineRule="auto"/>
        <w:rPr>
          <w:rFonts w:ascii="Cambria" w:hAnsi="Cambria" w:cs="Cambria"/>
          <w:noProof/>
        </w:rPr>
      </w:pPr>
      <w:r>
        <w:rPr>
          <w:noProof/>
          <w:lang w:val="en-GB" w:eastAsia="en-GB"/>
        </w:rPr>
        <mc:AlternateContent>
          <mc:Choice Requires="wps">
            <w:drawing>
              <wp:anchor distT="0" distB="0" distL="114300" distR="114300" simplePos="0" relativeHeight="251799553" behindDoc="0" locked="0" layoutInCell="1" allowOverlap="1" wp14:anchorId="186ECCB3" wp14:editId="6DAFABB8">
                <wp:simplePos x="0" y="0"/>
                <wp:positionH relativeFrom="column">
                  <wp:posOffset>2566670</wp:posOffset>
                </wp:positionH>
                <wp:positionV relativeFrom="paragraph">
                  <wp:posOffset>206375</wp:posOffset>
                </wp:positionV>
                <wp:extent cx="619125" cy="314325"/>
                <wp:effectExtent l="0" t="0" r="66675" b="47625"/>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9125" cy="3143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247D55" id="Straight Connector 9" o:spid="_x0000_s1026" style="position:absolute;z-index:2517995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1pt,16.25pt" to="250.8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">
                <v:stroke endarrow="block"/>
              </v:line>
            </w:pict>
          </mc:Fallback>
        </mc:AlternateContent>
      </w:r>
      <w:r>
        <w:rPr>
          <w:rFonts w:ascii="Cambria" w:hAnsi="Cambria" w:cs="Cambria"/>
          <w:noProof/>
          <w:lang w:val="en-GB" w:eastAsia="en-GB"/>
        </w:rPr>
        <w:drawing>
          <wp:inline distT="0" distB="0" distL="0" distR="0" wp14:anchorId="075B90A2" wp14:editId="5EC841C9">
            <wp:extent cx="2623085" cy="192577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15">
                      <a:extLst>
                        <a:ext uri="{28A0092B-C50C-407E-A947-70E740481C1C}">
                          <a14:useLocalDpi xmlns:a14="http://schemas.microsoft.com/office/drawing/2010/main" val="0"/>
                        </a:ext>
                      </a:extLst>
                    </a:blip>
                    <a:srcRect l="14191" r="13780" b="9180"/>
                    <a:stretch/>
                  </pic:blipFill>
                  <pic:spPr bwMode="auto">
                    <a:xfrm>
                      <a:off x="0" y="0"/>
                      <a:ext cx="2698323" cy="1981013"/>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439098EE" wp14:editId="24CFA509">
            <wp:extent cx="2933700" cy="169561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16" cstate="print">
                      <a:extLst>
                        <a:ext uri="{28A0092B-C50C-407E-A947-70E740481C1C}">
                          <a14:useLocalDpi xmlns:a14="http://schemas.microsoft.com/office/drawing/2010/main" val="0"/>
                        </a:ext>
                      </a:extLst>
                    </a:blip>
                    <a:srcRect l="8398" t="10577" r="7712" b="15676"/>
                    <a:stretch/>
                  </pic:blipFill>
                  <pic:spPr bwMode="auto">
                    <a:xfrm>
                      <a:off x="0" y="0"/>
                      <a:ext cx="3064486" cy="1771211"/>
                    </a:xfrm>
                    <a:prstGeom prst="rect">
                      <a:avLst/>
                    </a:prstGeom>
                    <a:ln>
                      <a:noFill/>
                    </a:ln>
                    <a:extLst>
                      <a:ext uri="{53640926-AAD7-44D8-BBD7-CCE9431645EC}">
                        <a14:shadowObscured xmlns:a14="http://schemas.microsoft.com/office/drawing/2010/main"/>
                      </a:ext>
                    </a:extLst>
                  </pic:spPr>
                </pic:pic>
              </a:graphicData>
            </a:graphic>
          </wp:inline>
        </w:drawing>
      </w:r>
    </w:p>
    <w:p w14:paraId="07BAD81C" w14:textId="77777777" w:rsidR="00E7711F" w:rsidRDefault="00E7711F" w:rsidP="00E7711F">
      <w:pPr>
        <w:spacing w:line="360" w:lineRule="auto"/>
        <w:rPr>
          <w:rFonts w:ascii="Cambria" w:hAnsi="Cambria" w:cs="Cambria"/>
          <w:noProof/>
        </w:rPr>
      </w:pPr>
    </w:p>
    <w:p w14:paraId="26014C6B" w14:textId="77777777" w:rsidR="00E7711F" w:rsidRDefault="00E7711F" w:rsidP="00E7711F">
      <w:pPr>
        <w:spacing w:line="360" w:lineRule="auto"/>
        <w:rPr>
          <w:rFonts w:ascii="Cambria" w:hAnsi="Cambria" w:cs="Cambria"/>
          <w:noProof/>
        </w:rPr>
      </w:pPr>
    </w:p>
    <w:p w14:paraId="1ADD58B9" w14:textId="77777777" w:rsidR="00E7711F" w:rsidRDefault="00E7711F" w:rsidP="00E7711F">
      <w:pPr>
        <w:rPr>
          <w:lang w:val="en-GB" w:eastAsia="ar-SA"/>
        </w:rPr>
      </w:pPr>
      <w:r>
        <w:rPr>
          <w:noProof/>
          <w:lang w:val="en-GB" w:eastAsia="en-GB"/>
        </w:rPr>
        <w:lastRenderedPageBreak/>
        <mc:AlternateContent>
          <mc:Choice Requires="wps">
            <w:drawing>
              <wp:anchor distT="0" distB="0" distL="114300" distR="114300" simplePos="0" relativeHeight="251800577" behindDoc="0" locked="0" layoutInCell="1" allowOverlap="1" wp14:anchorId="65689820" wp14:editId="78A0E135">
                <wp:simplePos x="0" y="0"/>
                <wp:positionH relativeFrom="column">
                  <wp:posOffset>3147695</wp:posOffset>
                </wp:positionH>
                <wp:positionV relativeFrom="paragraph">
                  <wp:posOffset>128270</wp:posOffset>
                </wp:positionV>
                <wp:extent cx="447675" cy="266700"/>
                <wp:effectExtent l="0" t="0" r="85725" b="571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7675" cy="2667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6528B8" id="Straight Connector 2" o:spid="_x0000_s1026" style="position:absolute;z-index:2518005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7.85pt,10.1pt" to="283.1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">
                <v:stroke endarrow="block"/>
              </v:line>
            </w:pict>
          </mc:Fallback>
        </mc:AlternateContent>
      </w:r>
      <w:r>
        <w:rPr>
          <w:noProof/>
          <w:lang w:val="en-GB" w:eastAsia="en-GB"/>
        </w:rPr>
        <w:drawing>
          <wp:inline distT="0" distB="0" distL="0" distR="0" wp14:anchorId="4EECA96F" wp14:editId="682CF8D7">
            <wp:extent cx="3196088" cy="1636395"/>
            <wp:effectExtent l="0" t="0" r="444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17">
                      <a:extLst>
                        <a:ext uri="{28A0092B-C50C-407E-A947-70E740481C1C}">
                          <a14:useLocalDpi xmlns:a14="http://schemas.microsoft.com/office/drawing/2010/main" val="0"/>
                        </a:ext>
                      </a:extLst>
                    </a:blip>
                    <a:srcRect l="6231" t="6358" r="6813" b="17160"/>
                    <a:stretch/>
                  </pic:blipFill>
                  <pic:spPr bwMode="auto">
                    <a:xfrm>
                      <a:off x="0" y="0"/>
                      <a:ext cx="3250976" cy="1664498"/>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20533111" wp14:editId="1DDF9123">
            <wp:extent cx="2076450" cy="1534005"/>
            <wp:effectExtent l="0" t="0" r="0" b="9525"/>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8" cstate="print">
                      <a:extLst>
                        <a:ext uri="{28A0092B-C50C-407E-A947-70E740481C1C}">
                          <a14:useLocalDpi xmlns:a14="http://schemas.microsoft.com/office/drawing/2010/main" val="0"/>
                        </a:ext>
                      </a:extLst>
                    </a:blip>
                    <a:srcRect l="5779" r="5369" b="8376"/>
                    <a:stretch/>
                  </pic:blipFill>
                  <pic:spPr bwMode="auto">
                    <a:xfrm>
                      <a:off x="0" y="0"/>
                      <a:ext cx="2118333" cy="1564947"/>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0EC7717F" wp14:editId="1459E098">
            <wp:extent cx="2667247" cy="2117090"/>
            <wp:effectExtent l="0" t="0" r="0" b="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9">
                      <a:extLst>
                        <a:ext uri="{28A0092B-C50C-407E-A947-70E740481C1C}">
                          <a14:useLocalDpi xmlns:a14="http://schemas.microsoft.com/office/drawing/2010/main" val="0"/>
                        </a:ext>
                      </a:extLst>
                    </a:blip>
                    <a:srcRect l="15803" r="16837" b="12131"/>
                    <a:stretch/>
                  </pic:blipFill>
                  <pic:spPr bwMode="auto">
                    <a:xfrm>
                      <a:off x="0" y="0"/>
                      <a:ext cx="2687459" cy="2133133"/>
                    </a:xfrm>
                    <a:prstGeom prst="rect">
                      <a:avLst/>
                    </a:prstGeom>
                    <a:ln>
                      <a:noFill/>
                    </a:ln>
                    <a:extLst>
                      <a:ext uri="{53640926-AAD7-44D8-BBD7-CCE9431645EC}">
                        <a14:shadowObscured xmlns:a14="http://schemas.microsoft.com/office/drawing/2010/main"/>
                      </a:ext>
                    </a:extLst>
                  </pic:spPr>
                </pic:pic>
              </a:graphicData>
            </a:graphic>
          </wp:inline>
        </w:drawing>
      </w:r>
    </w:p>
    <w:p w14:paraId="38A17F5C" w14:textId="02AEA680" w:rsidR="00E7711F" w:rsidRDefault="00E7711F" w:rsidP="00E7711F">
      <w:pPr>
        <w:pStyle w:val="Caption"/>
        <w:rPr>
          <w:lang w:val="en-GB"/>
        </w:rPr>
      </w:pPr>
      <w:bookmarkStart w:id="10" w:name="_Toc90658074"/>
      <w:bookmarkStart w:id="11" w:name="_Toc144800885"/>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w:t>
      </w:r>
      <w:r w:rsidRPr="00794360">
        <w:rPr>
          <w:noProof/>
          <w:lang w:val="en-GB"/>
        </w:rPr>
        <w:fldChar w:fldCharType="end"/>
      </w:r>
      <w:r w:rsidRPr="00794360">
        <w:rPr>
          <w:lang w:val="en-GB"/>
        </w:rPr>
        <w:t>: Domain and bathymetry of the nested models: Mediterranean Sea (~5Km horizontal resolution, top)</w:t>
      </w:r>
      <w:r>
        <w:rPr>
          <w:lang w:val="en-GB"/>
        </w:rPr>
        <w:t xml:space="preserve"> and</w:t>
      </w:r>
      <w:r w:rsidRPr="00794360">
        <w:rPr>
          <w:lang w:val="en-GB"/>
        </w:rPr>
        <w:t xml:space="preserve"> Cyprus Sea (~</w:t>
      </w:r>
      <w:r>
        <w:rPr>
          <w:lang w:val="en-GB"/>
        </w:rPr>
        <w:t>4</w:t>
      </w:r>
      <w:r w:rsidRPr="00794360">
        <w:rPr>
          <w:lang w:val="en-GB"/>
        </w:rPr>
        <w:t>00m horizontal resolution, bottom). The three nested (~</w:t>
      </w:r>
      <w:r>
        <w:rPr>
          <w:lang w:val="en-GB"/>
        </w:rPr>
        <w:t>4</w:t>
      </w:r>
      <w:r w:rsidRPr="00794360">
        <w:rPr>
          <w:lang w:val="en-GB"/>
        </w:rPr>
        <w:t>00m resolution, Sub-model 1,2,</w:t>
      </w:r>
      <w:r w:rsidR="00330B55">
        <w:rPr>
          <w:lang w:val="en-GB"/>
        </w:rPr>
        <w:t xml:space="preserve"> </w:t>
      </w:r>
      <w:r w:rsidRPr="00794360">
        <w:rPr>
          <w:lang w:val="en-GB"/>
        </w:rPr>
        <w:t xml:space="preserve">3) </w:t>
      </w:r>
      <w:r>
        <w:rPr>
          <w:lang w:val="en-GB"/>
        </w:rPr>
        <w:t xml:space="preserve">and fine-resolution (~100m, Cyp-1fine and Cyp-2fine) sub-models </w:t>
      </w:r>
      <w:r w:rsidRPr="00794360">
        <w:rPr>
          <w:lang w:val="en-GB"/>
        </w:rPr>
        <w:t>in the Cyprus domain</w:t>
      </w:r>
      <w:r>
        <w:rPr>
          <w:lang w:val="en-GB"/>
        </w:rPr>
        <w:t>,</w:t>
      </w:r>
      <w:r w:rsidRPr="00794360">
        <w:rPr>
          <w:lang w:val="en-GB"/>
        </w:rPr>
        <w:t xml:space="preserve"> existing </w:t>
      </w:r>
      <w:r>
        <w:rPr>
          <w:lang w:val="en-GB"/>
        </w:rPr>
        <w:t xml:space="preserve">(red dots) and open sea potential new (green dots) </w:t>
      </w:r>
      <w:r w:rsidRPr="00794360">
        <w:rPr>
          <w:lang w:val="en-GB"/>
        </w:rPr>
        <w:t>fish farms</w:t>
      </w:r>
      <w:r>
        <w:rPr>
          <w:lang w:val="en-GB"/>
        </w:rPr>
        <w:t xml:space="preserve"> </w:t>
      </w:r>
      <w:r w:rsidRPr="00794360">
        <w:rPr>
          <w:lang w:val="en-GB"/>
        </w:rPr>
        <w:t xml:space="preserve">are also indicated. </w:t>
      </w:r>
      <w:r>
        <w:rPr>
          <w:lang w:val="en-GB"/>
        </w:rPr>
        <w:t>The red dots represent the existing licences (see Table 3 for existing site areas 1-11).</w:t>
      </w:r>
      <w:bookmarkEnd w:id="10"/>
      <w:bookmarkEnd w:id="11"/>
    </w:p>
    <w:p w14:paraId="269FB135" w14:textId="6D6D9B38" w:rsidR="00E7711F" w:rsidRPr="00D011B4" w:rsidRDefault="00E7711F" w:rsidP="00E7711F">
      <w:pPr>
        <w:pStyle w:val="BodyText"/>
        <w:jc w:val="both"/>
        <w:rPr>
          <w:rFonts w:ascii="Arial" w:hAnsi="Arial" w:cs="Arial"/>
        </w:rPr>
      </w:pPr>
      <w:r w:rsidRPr="00D011B4">
        <w:rPr>
          <w:rFonts w:ascii="Arial" w:hAnsi="Arial" w:cs="Arial"/>
        </w:rPr>
        <w:t>The impact of aquaculture wastes</w:t>
      </w:r>
      <w:r>
        <w:rPr>
          <w:rFonts w:ascii="Arial" w:hAnsi="Arial" w:cs="Arial"/>
        </w:rPr>
        <w:t>,</w:t>
      </w:r>
      <w:r w:rsidRPr="00D011B4">
        <w:rPr>
          <w:rFonts w:ascii="Arial" w:hAnsi="Arial" w:cs="Arial"/>
        </w:rPr>
        <w:t xml:space="preserve"> in terms of good environmental</w:t>
      </w:r>
      <w:r>
        <w:rPr>
          <w:rFonts w:ascii="Arial" w:hAnsi="Arial" w:cs="Arial"/>
        </w:rPr>
        <w:t xml:space="preserve"> status, is assessed </w:t>
      </w:r>
      <w:r w:rsidRPr="00D011B4">
        <w:rPr>
          <w:rFonts w:ascii="Arial" w:hAnsi="Arial" w:cs="Arial"/>
        </w:rPr>
        <w:t xml:space="preserve">using the model simulated outputs by means of Eutrophication Index (E.I., </w:t>
      </w:r>
      <w:proofErr w:type="spellStart"/>
      <w:r w:rsidRPr="00D011B4">
        <w:rPr>
          <w:rFonts w:ascii="Arial" w:hAnsi="Arial" w:cs="Arial"/>
        </w:rPr>
        <w:t>Primpas</w:t>
      </w:r>
      <w:proofErr w:type="spellEnd"/>
      <w:r w:rsidRPr="00D011B4">
        <w:rPr>
          <w:rFonts w:ascii="Arial" w:hAnsi="Arial" w:cs="Arial"/>
        </w:rPr>
        <w:t xml:space="preserve"> et al., 2010), an extensively used environmental indicator that is considered particularly suitable for coastal ecosystems (Pavlidou et al., 2015) :</w:t>
      </w:r>
    </w:p>
    <w:p w14:paraId="575E0E5A" w14:textId="77777777" w:rsidR="00E7711F" w:rsidRPr="00D011B4" w:rsidRDefault="00E7711F" w:rsidP="00E7711F">
      <w:pPr>
        <w:pStyle w:val="BodyText"/>
        <w:jc w:val="both"/>
        <w:rPr>
          <w:rFonts w:ascii="Arial" w:hAnsi="Arial" w:cs="Arial"/>
        </w:rPr>
      </w:pPr>
      <w:r w:rsidRPr="00D011B4">
        <w:rPr>
          <w:rFonts w:ascii="Arial" w:hAnsi="Arial" w:cs="Arial"/>
        </w:rPr>
        <w:t>E.I.=0.279*PO</w:t>
      </w:r>
      <w:r w:rsidRPr="00F00C00">
        <w:rPr>
          <w:rFonts w:ascii="Arial" w:hAnsi="Arial" w:cs="Arial"/>
          <w:vertAlign w:val="subscript"/>
        </w:rPr>
        <w:t>4</w:t>
      </w:r>
      <w:r w:rsidRPr="00D011B4">
        <w:rPr>
          <w:rFonts w:ascii="Arial" w:hAnsi="Arial" w:cs="Arial"/>
        </w:rPr>
        <w:t xml:space="preserve"> + 0.261*NO</w:t>
      </w:r>
      <w:r w:rsidRPr="00F00C00">
        <w:rPr>
          <w:rFonts w:ascii="Arial" w:hAnsi="Arial" w:cs="Arial"/>
          <w:vertAlign w:val="subscript"/>
        </w:rPr>
        <w:t>3</w:t>
      </w:r>
      <w:r w:rsidRPr="00D011B4">
        <w:rPr>
          <w:rFonts w:ascii="Arial" w:hAnsi="Arial" w:cs="Arial"/>
        </w:rPr>
        <w:t>+ 0.296*NO</w:t>
      </w:r>
      <w:r w:rsidRPr="00F00C00">
        <w:rPr>
          <w:rFonts w:ascii="Arial" w:hAnsi="Arial" w:cs="Arial"/>
          <w:vertAlign w:val="subscript"/>
        </w:rPr>
        <w:t>2</w:t>
      </w:r>
      <w:r w:rsidRPr="00D011B4">
        <w:rPr>
          <w:rFonts w:ascii="Arial" w:hAnsi="Arial" w:cs="Arial"/>
        </w:rPr>
        <w:t>+ 0.275*NH</w:t>
      </w:r>
      <w:r w:rsidRPr="00F00C00">
        <w:rPr>
          <w:rFonts w:ascii="Arial" w:hAnsi="Arial" w:cs="Arial"/>
          <w:vertAlign w:val="subscript"/>
        </w:rPr>
        <w:t>4</w:t>
      </w:r>
      <w:r w:rsidRPr="00D011B4">
        <w:rPr>
          <w:rFonts w:ascii="Arial" w:hAnsi="Arial" w:cs="Arial"/>
        </w:rPr>
        <w:t>+ 0.214*</w:t>
      </w:r>
      <w:proofErr w:type="spellStart"/>
      <w:r w:rsidRPr="00D011B4">
        <w:rPr>
          <w:rFonts w:ascii="Arial" w:hAnsi="Arial" w:cs="Arial"/>
        </w:rPr>
        <w:t>Chl</w:t>
      </w:r>
      <w:proofErr w:type="spellEnd"/>
      <w:r w:rsidRPr="00D011B4">
        <w:rPr>
          <w:rFonts w:ascii="Arial" w:hAnsi="Arial" w:cs="Arial"/>
        </w:rPr>
        <w:t xml:space="preserve">-a </w:t>
      </w:r>
    </w:p>
    <w:p w14:paraId="4E597334" w14:textId="77777777" w:rsidR="00E7711F" w:rsidRPr="00D011B4" w:rsidRDefault="00E7711F" w:rsidP="00E7711F">
      <w:pPr>
        <w:pStyle w:val="BodyText"/>
        <w:jc w:val="both"/>
        <w:rPr>
          <w:rFonts w:ascii="Arial" w:hAnsi="Arial" w:cs="Arial"/>
        </w:rPr>
      </w:pPr>
      <w:r w:rsidRPr="00D011B4">
        <w:rPr>
          <w:rFonts w:ascii="Arial" w:hAnsi="Arial" w:cs="Arial"/>
        </w:rPr>
        <w:t>with PO</w:t>
      </w:r>
      <w:r w:rsidRPr="00F00C00">
        <w:rPr>
          <w:rFonts w:ascii="Arial" w:hAnsi="Arial" w:cs="Arial"/>
          <w:vertAlign w:val="subscript"/>
        </w:rPr>
        <w:t>4</w:t>
      </w:r>
      <w:r w:rsidRPr="00D011B4">
        <w:rPr>
          <w:rFonts w:ascii="Arial" w:hAnsi="Arial" w:cs="Arial"/>
        </w:rPr>
        <w:t>, NO</w:t>
      </w:r>
      <w:r w:rsidRPr="00F00C00">
        <w:rPr>
          <w:rFonts w:ascii="Arial" w:hAnsi="Arial" w:cs="Arial"/>
          <w:vertAlign w:val="subscript"/>
        </w:rPr>
        <w:t>3</w:t>
      </w:r>
      <w:r w:rsidRPr="00D011B4">
        <w:rPr>
          <w:rFonts w:ascii="Arial" w:hAnsi="Arial" w:cs="Arial"/>
        </w:rPr>
        <w:t>, NO</w:t>
      </w:r>
      <w:r w:rsidRPr="00F00C00">
        <w:rPr>
          <w:rFonts w:ascii="Arial" w:hAnsi="Arial" w:cs="Arial"/>
          <w:vertAlign w:val="subscript"/>
        </w:rPr>
        <w:t>2</w:t>
      </w:r>
      <w:r w:rsidRPr="00D011B4">
        <w:rPr>
          <w:rFonts w:ascii="Arial" w:hAnsi="Arial" w:cs="Arial"/>
        </w:rPr>
        <w:t>, NH</w:t>
      </w:r>
      <w:r w:rsidRPr="00F00C00">
        <w:rPr>
          <w:rFonts w:ascii="Arial" w:hAnsi="Arial" w:cs="Arial"/>
          <w:vertAlign w:val="subscript"/>
        </w:rPr>
        <w:t>4</w:t>
      </w:r>
      <w:r w:rsidRPr="00D011B4">
        <w:rPr>
          <w:rFonts w:ascii="Arial" w:hAnsi="Arial" w:cs="Arial"/>
        </w:rPr>
        <w:t xml:space="preserve"> in mmol/m</w:t>
      </w:r>
      <w:r w:rsidRPr="00D011B4">
        <w:rPr>
          <w:rFonts w:ascii="Arial" w:hAnsi="Arial" w:cs="Arial"/>
          <w:vertAlign w:val="superscript"/>
        </w:rPr>
        <w:t>3</w:t>
      </w:r>
      <w:r w:rsidRPr="00D011B4">
        <w:rPr>
          <w:rFonts w:ascii="Arial" w:hAnsi="Arial" w:cs="Arial"/>
        </w:rPr>
        <w:t xml:space="preserve"> and </w:t>
      </w:r>
      <w:proofErr w:type="spellStart"/>
      <w:r w:rsidRPr="00D011B4">
        <w:rPr>
          <w:rFonts w:ascii="Arial" w:hAnsi="Arial" w:cs="Arial"/>
        </w:rPr>
        <w:t>Chl</w:t>
      </w:r>
      <w:proofErr w:type="spellEnd"/>
      <w:r w:rsidRPr="00D011B4">
        <w:rPr>
          <w:rFonts w:ascii="Arial" w:hAnsi="Arial" w:cs="Arial"/>
        </w:rPr>
        <w:t>-a in mg/m</w:t>
      </w:r>
      <w:r w:rsidRPr="00D011B4">
        <w:rPr>
          <w:rFonts w:ascii="Arial" w:hAnsi="Arial" w:cs="Arial"/>
          <w:vertAlign w:val="superscript"/>
        </w:rPr>
        <w:t>3</w:t>
      </w:r>
      <w:r w:rsidRPr="00D011B4">
        <w:rPr>
          <w:rFonts w:ascii="Arial" w:hAnsi="Arial" w:cs="Arial"/>
        </w:rPr>
        <w:t xml:space="preserve">) and the following environmental scaling: </w:t>
      </w:r>
    </w:p>
    <w:p w14:paraId="58A569EE" w14:textId="213B1BC9" w:rsidR="00E7711F" w:rsidRDefault="00E7711F" w:rsidP="00E7711F">
      <w:pPr>
        <w:pStyle w:val="BodyText"/>
        <w:jc w:val="both"/>
        <w:rPr>
          <w:rFonts w:ascii="Arial" w:hAnsi="Arial" w:cs="Arial"/>
        </w:rPr>
      </w:pPr>
      <w:r w:rsidRPr="00D011B4">
        <w:rPr>
          <w:rFonts w:ascii="Arial" w:hAnsi="Arial" w:cs="Arial"/>
        </w:rPr>
        <w:t xml:space="preserve"> &lt;0.04 very good, 0.04 - 0.38 good, 0.38 - 0.85 moderate, 0.85 - 1.51 poor, &gt; 1.51 bad</w:t>
      </w:r>
      <w:r w:rsidR="00960C62">
        <w:rPr>
          <w:rFonts w:ascii="Arial" w:hAnsi="Arial" w:cs="Arial"/>
        </w:rPr>
        <w:t>.</w:t>
      </w:r>
    </w:p>
    <w:p w14:paraId="73A5ACCE" w14:textId="77777777" w:rsidR="00960C62" w:rsidRPr="00D011B4" w:rsidRDefault="00960C62" w:rsidP="00E7711F">
      <w:pPr>
        <w:pStyle w:val="BodyText"/>
        <w:jc w:val="both"/>
        <w:rPr>
          <w:rFonts w:ascii="Arial" w:hAnsi="Arial" w:cs="Arial"/>
        </w:rPr>
      </w:pPr>
    </w:p>
    <w:p w14:paraId="2054824E" w14:textId="77777777" w:rsidR="00E7711F" w:rsidRPr="00E7711F" w:rsidRDefault="00E7711F" w:rsidP="00E7711F">
      <w:pPr>
        <w:pStyle w:val="ListParagraph"/>
        <w:numPr>
          <w:ilvl w:val="2"/>
          <w:numId w:val="30"/>
        </w:numPr>
        <w:rPr>
          <w:rFonts w:eastAsia="Times New Roman" w:cs="Times New Roman"/>
          <w:bCs/>
          <w:color w:val="2F5496" w:themeColor="accent1" w:themeShade="BF"/>
          <w:szCs w:val="27"/>
          <w:lang w:val="en-GB"/>
        </w:rPr>
      </w:pPr>
      <w:r w:rsidRPr="00E7711F">
        <w:rPr>
          <w:rFonts w:eastAsia="Times New Roman" w:cs="Times New Roman"/>
          <w:bCs/>
          <w:color w:val="2F5496" w:themeColor="accent1" w:themeShade="BF"/>
          <w:szCs w:val="27"/>
          <w:lang w:val="en-GB"/>
        </w:rPr>
        <w:t xml:space="preserve">Model simulations </w:t>
      </w:r>
    </w:p>
    <w:p w14:paraId="1A9F4EC8" w14:textId="08DF776E" w:rsidR="00E7711F" w:rsidRDefault="00E7711F" w:rsidP="00E7711F">
      <w:pPr>
        <w:pStyle w:val="BodyText"/>
        <w:jc w:val="both"/>
        <w:rPr>
          <w:rFonts w:ascii="Arial" w:hAnsi="Arial" w:cs="Arial"/>
        </w:rPr>
      </w:pPr>
      <w:r>
        <w:rPr>
          <w:rFonts w:ascii="Arial" w:hAnsi="Arial" w:cs="Arial"/>
        </w:rPr>
        <w:t xml:space="preserve">A series of scenario simulations were performed with the intermediate (Cyp-1, Cyp-2, Cyp-3, see Table </w:t>
      </w:r>
      <w:r w:rsidR="005C6066">
        <w:rPr>
          <w:rFonts w:ascii="Arial" w:hAnsi="Arial" w:cs="Arial"/>
        </w:rPr>
        <w:t>2</w:t>
      </w:r>
      <w:r>
        <w:rPr>
          <w:rFonts w:ascii="Arial" w:hAnsi="Arial" w:cs="Arial"/>
        </w:rPr>
        <w:t xml:space="preserve">) and fine-resolution (Cyp-1fine, Cyp-2fine, see Table </w:t>
      </w:r>
      <w:r w:rsidR="005C6066">
        <w:rPr>
          <w:rFonts w:ascii="Arial" w:hAnsi="Arial" w:cs="Arial"/>
        </w:rPr>
        <w:t>3</w:t>
      </w:r>
      <w:r>
        <w:rPr>
          <w:rFonts w:ascii="Arial" w:hAnsi="Arial" w:cs="Arial"/>
        </w:rPr>
        <w:t>) sub-models, covering the selected areas (</w:t>
      </w:r>
      <w:r w:rsidRPr="00794360">
        <w:rPr>
          <w:rFonts w:ascii="Arial" w:hAnsi="Arial" w:cs="Arial"/>
        </w:rPr>
        <w:t>Xylofagou West</w:t>
      </w:r>
      <w:r>
        <w:rPr>
          <w:rFonts w:ascii="Arial" w:hAnsi="Arial" w:cs="Arial"/>
        </w:rPr>
        <w:t xml:space="preserve">, Larnaca, </w:t>
      </w:r>
      <w:r w:rsidRPr="00794360">
        <w:rPr>
          <w:rFonts w:ascii="Arial" w:hAnsi="Arial" w:cs="Arial"/>
        </w:rPr>
        <w:t>Governor’s Beach</w:t>
      </w:r>
      <w:r>
        <w:rPr>
          <w:rFonts w:ascii="Arial" w:hAnsi="Arial" w:cs="Arial"/>
        </w:rPr>
        <w:t xml:space="preserve">, </w:t>
      </w:r>
      <w:r w:rsidRPr="00794360">
        <w:rPr>
          <w:rFonts w:ascii="Arial" w:hAnsi="Arial" w:cs="Arial"/>
        </w:rPr>
        <w:t>Aphrodite Hills</w:t>
      </w:r>
      <w:r>
        <w:rPr>
          <w:rFonts w:ascii="Arial" w:hAnsi="Arial" w:cs="Arial"/>
        </w:rPr>
        <w:t>)</w:t>
      </w:r>
      <w:r w:rsidRPr="00794360">
        <w:rPr>
          <w:rFonts w:ascii="Arial" w:hAnsi="Arial" w:cs="Arial"/>
        </w:rPr>
        <w:t xml:space="preserve"> </w:t>
      </w:r>
      <w:r>
        <w:rPr>
          <w:rFonts w:ascii="Arial" w:hAnsi="Arial" w:cs="Arial"/>
        </w:rPr>
        <w:t>for open sea aquaculture:</w:t>
      </w:r>
    </w:p>
    <w:p w14:paraId="51075800" w14:textId="77777777" w:rsidR="00EE2A65" w:rsidRDefault="00EE2A65" w:rsidP="00E7711F">
      <w:pPr>
        <w:pStyle w:val="BodyText"/>
        <w:jc w:val="both"/>
        <w:rPr>
          <w:rFonts w:ascii="Arial" w:hAnsi="Arial" w:cs="Arial"/>
        </w:rPr>
      </w:pPr>
    </w:p>
    <w:p w14:paraId="7E55A213" w14:textId="77777777" w:rsidR="00EE2A65" w:rsidRDefault="00EE2A65" w:rsidP="00E7711F">
      <w:pPr>
        <w:pStyle w:val="BodyText"/>
        <w:jc w:val="both"/>
        <w:rPr>
          <w:rFonts w:ascii="Arial" w:hAnsi="Arial" w:cs="Arial"/>
        </w:rPr>
      </w:pPr>
    </w:p>
    <w:p w14:paraId="20E810DC" w14:textId="77777777" w:rsidR="00EE2A65" w:rsidRDefault="00EE2A65" w:rsidP="00E7711F">
      <w:pPr>
        <w:pStyle w:val="BodyText"/>
        <w:jc w:val="both"/>
        <w:rPr>
          <w:rFonts w:ascii="Arial" w:hAnsi="Arial" w:cs="Arial"/>
        </w:rPr>
      </w:pPr>
    </w:p>
    <w:p w14:paraId="24714597" w14:textId="70DB20D9" w:rsidR="002E5C35" w:rsidRPr="006F151C" w:rsidRDefault="002E5C35" w:rsidP="002E5C35">
      <w:pPr>
        <w:pStyle w:val="Caption"/>
        <w:rPr>
          <w:rFonts w:cs="Arial"/>
          <w:lang w:val="en-GB"/>
        </w:rPr>
      </w:pPr>
      <w:bookmarkStart w:id="12" w:name="_Toc144800608"/>
      <w:r w:rsidRPr="006F151C">
        <w:rPr>
          <w:lang w:val="en-GB"/>
        </w:rPr>
        <w:lastRenderedPageBreak/>
        <w:t xml:space="preserve">Table </w:t>
      </w:r>
      <w:r w:rsidRPr="006F151C">
        <w:rPr>
          <w:noProof/>
          <w:lang w:val="en-GB"/>
        </w:rPr>
        <w:fldChar w:fldCharType="begin"/>
      </w:r>
      <w:r w:rsidRPr="006F151C">
        <w:rPr>
          <w:noProof/>
          <w:lang w:val="en-GB"/>
        </w:rPr>
        <w:instrText xml:space="preserve"> SEQ Table \* ARABIC </w:instrText>
      </w:r>
      <w:r w:rsidRPr="006F151C">
        <w:rPr>
          <w:noProof/>
          <w:lang w:val="en-GB"/>
        </w:rPr>
        <w:fldChar w:fldCharType="separate"/>
      </w:r>
      <w:r>
        <w:rPr>
          <w:noProof/>
          <w:lang w:val="en-GB"/>
        </w:rPr>
        <w:t>2</w:t>
      </w:r>
      <w:r w:rsidRPr="006F151C">
        <w:rPr>
          <w:noProof/>
          <w:lang w:val="en-GB"/>
        </w:rPr>
        <w:fldChar w:fldCharType="end"/>
      </w:r>
      <w:r w:rsidRPr="006F151C">
        <w:rPr>
          <w:lang w:val="en-GB"/>
        </w:rPr>
        <w:t xml:space="preserve">. </w:t>
      </w:r>
      <w:r w:rsidRPr="002E5C35">
        <w:rPr>
          <w:lang w:val="en-GB"/>
        </w:rPr>
        <w:t>Scenario simulations, performed with Cyp-1, Cyp-2, Cyp-3 sub-models (see Fig 1 for the sub-model areas)</w:t>
      </w:r>
      <w:r w:rsidRPr="006F151C">
        <w:rPr>
          <w:lang w:val="en-GB"/>
        </w:rPr>
        <w:t>.</w:t>
      </w:r>
      <w:bookmarkEnd w:id="12"/>
    </w:p>
    <w:p w14:paraId="277A934A" w14:textId="77777777" w:rsidR="002E5C35" w:rsidRPr="002E5C35" w:rsidRDefault="002E5C35" w:rsidP="002E5C35">
      <w:pPr>
        <w:rPr>
          <w:lang w:val="en-GB"/>
        </w:rPr>
      </w:pPr>
    </w:p>
    <w:tbl>
      <w:tblPr>
        <w:tblStyle w:val="TableGrid"/>
        <w:tblW w:w="0" w:type="auto"/>
        <w:tblLook w:val="01E0" w:firstRow="1" w:lastRow="1" w:firstColumn="1" w:lastColumn="1" w:noHBand="0" w:noVBand="0"/>
      </w:tblPr>
      <w:tblGrid>
        <w:gridCol w:w="2012"/>
        <w:gridCol w:w="1980"/>
        <w:gridCol w:w="1980"/>
        <w:gridCol w:w="2082"/>
      </w:tblGrid>
      <w:tr w:rsidR="00E7711F" w14:paraId="00D8E3AA" w14:textId="77777777" w:rsidTr="00EE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12" w:type="dxa"/>
          </w:tcPr>
          <w:p w14:paraId="061D9482" w14:textId="77777777" w:rsidR="00E7711F" w:rsidRDefault="00E7711F" w:rsidP="00EE2A65">
            <w:pPr>
              <w:pStyle w:val="BodyText"/>
              <w:jc w:val="both"/>
              <w:rPr>
                <w:rFonts w:ascii="Arial" w:hAnsi="Arial" w:cs="Arial"/>
              </w:rPr>
            </w:pPr>
            <w:r>
              <w:rPr>
                <w:rFonts w:ascii="Arial" w:hAnsi="Arial" w:cs="Arial"/>
              </w:rPr>
              <w:t>Production (kt)</w:t>
            </w:r>
          </w:p>
        </w:tc>
        <w:tc>
          <w:tcPr>
            <w:tcW w:w="1980" w:type="dxa"/>
          </w:tcPr>
          <w:p w14:paraId="37D6F699" w14:textId="77777777" w:rsidR="00E7711F" w:rsidRDefault="00E7711F" w:rsidP="00EE2A65">
            <w:pPr>
              <w:pStyle w:val="BodyText"/>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Cyp-1</w:t>
            </w:r>
          </w:p>
        </w:tc>
        <w:tc>
          <w:tcPr>
            <w:tcW w:w="1980" w:type="dxa"/>
          </w:tcPr>
          <w:p w14:paraId="4CBF2E56" w14:textId="77777777" w:rsidR="00E7711F" w:rsidRDefault="00E7711F" w:rsidP="00EE2A65">
            <w:pPr>
              <w:pStyle w:val="BodyText"/>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Cyp-2</w:t>
            </w:r>
          </w:p>
        </w:tc>
        <w:tc>
          <w:tcPr>
            <w:tcW w:w="2082" w:type="dxa"/>
          </w:tcPr>
          <w:p w14:paraId="5D618284" w14:textId="77777777" w:rsidR="00E7711F" w:rsidRDefault="00E7711F" w:rsidP="00EE2A65">
            <w:pPr>
              <w:pStyle w:val="BodyText"/>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Cyp-3</w:t>
            </w:r>
          </w:p>
        </w:tc>
      </w:tr>
      <w:tr w:rsidR="00E7711F" w14:paraId="27ADE345" w14:textId="77777777" w:rsidTr="00EE2A65">
        <w:tc>
          <w:tcPr>
            <w:cnfStyle w:val="001000000000" w:firstRow="0" w:lastRow="0" w:firstColumn="1" w:lastColumn="0" w:oddVBand="0" w:evenVBand="0" w:oddHBand="0" w:evenHBand="0" w:firstRowFirstColumn="0" w:firstRowLastColumn="0" w:lastRowFirstColumn="0" w:lastRowLastColumn="0"/>
            <w:tcW w:w="2012" w:type="dxa"/>
          </w:tcPr>
          <w:p w14:paraId="1BA29ED7" w14:textId="77777777" w:rsidR="00E7711F" w:rsidRDefault="00E7711F" w:rsidP="00EE2A65">
            <w:pPr>
              <w:pStyle w:val="BodyText"/>
              <w:jc w:val="both"/>
              <w:rPr>
                <w:rFonts w:ascii="Arial" w:hAnsi="Arial" w:cs="Arial"/>
              </w:rPr>
            </w:pPr>
            <w:r>
              <w:rPr>
                <w:rFonts w:ascii="Arial" w:hAnsi="Arial" w:cs="Arial"/>
              </w:rPr>
              <w:t>Ref0</w:t>
            </w:r>
            <w:r>
              <w:rPr>
                <w:rFonts w:ascii="Arial" w:hAnsi="Arial" w:cs="Arial"/>
              </w:rPr>
              <w:br/>
              <w:t>2016, 2017, 2018</w:t>
            </w:r>
          </w:p>
        </w:tc>
        <w:tc>
          <w:tcPr>
            <w:tcW w:w="1980" w:type="dxa"/>
          </w:tcPr>
          <w:p w14:paraId="48B46CC8"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 fish farms</w:t>
            </w:r>
          </w:p>
        </w:tc>
        <w:tc>
          <w:tcPr>
            <w:tcW w:w="1980" w:type="dxa"/>
          </w:tcPr>
          <w:p w14:paraId="4CBE0F5B"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 fish farms</w:t>
            </w:r>
          </w:p>
        </w:tc>
        <w:tc>
          <w:tcPr>
            <w:tcW w:w="2082" w:type="dxa"/>
          </w:tcPr>
          <w:p w14:paraId="325FFE5C"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 fish farms</w:t>
            </w:r>
          </w:p>
        </w:tc>
      </w:tr>
      <w:tr w:rsidR="00E7711F" w14:paraId="2DCFB2CC" w14:textId="77777777" w:rsidTr="00EE2A65">
        <w:tc>
          <w:tcPr>
            <w:cnfStyle w:val="001000000000" w:firstRow="0" w:lastRow="0" w:firstColumn="1" w:lastColumn="0" w:oddVBand="0" w:evenVBand="0" w:oddHBand="0" w:evenHBand="0" w:firstRowFirstColumn="0" w:firstRowLastColumn="0" w:lastRowFirstColumn="0" w:lastRowLastColumn="0"/>
            <w:tcW w:w="2012" w:type="dxa"/>
          </w:tcPr>
          <w:p w14:paraId="54F48B5B" w14:textId="77777777" w:rsidR="00E7711F" w:rsidRDefault="00E7711F" w:rsidP="00EE2A65">
            <w:pPr>
              <w:pStyle w:val="BodyText"/>
              <w:jc w:val="both"/>
              <w:rPr>
                <w:rFonts w:ascii="Arial" w:hAnsi="Arial" w:cs="Arial"/>
              </w:rPr>
            </w:pPr>
            <w:r>
              <w:rPr>
                <w:rFonts w:ascii="Arial" w:hAnsi="Arial" w:cs="Arial"/>
              </w:rPr>
              <w:t xml:space="preserve">Sc2 </w:t>
            </w:r>
            <w:r>
              <w:rPr>
                <w:rFonts w:ascii="Arial" w:hAnsi="Arial" w:cs="Arial"/>
              </w:rPr>
              <w:br/>
              <w:t>2016, 2017, 2018</w:t>
            </w:r>
          </w:p>
        </w:tc>
        <w:tc>
          <w:tcPr>
            <w:tcW w:w="1980" w:type="dxa"/>
          </w:tcPr>
          <w:p w14:paraId="4493123A"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Existing farms (8.5kt) </w:t>
            </w:r>
            <w:r>
              <w:rPr>
                <w:rFonts w:ascii="Arial" w:hAnsi="Arial" w:cs="Arial"/>
              </w:rPr>
              <w:br/>
              <w:t>+</w:t>
            </w:r>
          </w:p>
          <w:p w14:paraId="592F11B0"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Governor (5kt)/ Larnaca (3kt)</w:t>
            </w:r>
          </w:p>
        </w:tc>
        <w:tc>
          <w:tcPr>
            <w:tcW w:w="1980" w:type="dxa"/>
          </w:tcPr>
          <w:p w14:paraId="7DC665E0"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Existing farms (0.5kt) </w:t>
            </w:r>
            <w:r>
              <w:rPr>
                <w:rFonts w:ascii="Arial" w:hAnsi="Arial" w:cs="Arial"/>
              </w:rPr>
              <w:br/>
              <w:t xml:space="preserve">+ </w:t>
            </w:r>
          </w:p>
          <w:p w14:paraId="3F3F3384"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Xylofagou(5kt)/ Larnaca (3kt)</w:t>
            </w:r>
          </w:p>
        </w:tc>
        <w:tc>
          <w:tcPr>
            <w:tcW w:w="2082" w:type="dxa"/>
          </w:tcPr>
          <w:p w14:paraId="76A83394"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Aphrodite (5kt)</w:t>
            </w:r>
          </w:p>
        </w:tc>
      </w:tr>
    </w:tbl>
    <w:p w14:paraId="140B03AB" w14:textId="77777777" w:rsidR="00E7711F" w:rsidRDefault="00E7711F" w:rsidP="00E7711F">
      <w:pPr>
        <w:pStyle w:val="BodyText"/>
        <w:jc w:val="both"/>
        <w:rPr>
          <w:rFonts w:ascii="Arial" w:hAnsi="Arial" w:cs="Arial"/>
        </w:rPr>
      </w:pPr>
    </w:p>
    <w:p w14:paraId="036B86E8" w14:textId="702C2B19" w:rsidR="005C6066" w:rsidRPr="006F151C" w:rsidRDefault="005C6066" w:rsidP="005C6066">
      <w:pPr>
        <w:pStyle w:val="Caption"/>
        <w:rPr>
          <w:rFonts w:cs="Arial"/>
          <w:lang w:val="en-GB"/>
        </w:rPr>
      </w:pPr>
      <w:bookmarkStart w:id="13" w:name="_Toc144800609"/>
      <w:r w:rsidRPr="006F151C">
        <w:rPr>
          <w:lang w:val="en-GB"/>
        </w:rPr>
        <w:t xml:space="preserve">Table </w:t>
      </w:r>
      <w:r w:rsidRPr="006F151C">
        <w:rPr>
          <w:noProof/>
          <w:lang w:val="en-GB"/>
        </w:rPr>
        <w:fldChar w:fldCharType="begin"/>
      </w:r>
      <w:r w:rsidRPr="006F151C">
        <w:rPr>
          <w:noProof/>
          <w:lang w:val="en-GB"/>
        </w:rPr>
        <w:instrText xml:space="preserve"> SEQ Table \* ARABIC </w:instrText>
      </w:r>
      <w:r w:rsidRPr="006F151C">
        <w:rPr>
          <w:noProof/>
          <w:lang w:val="en-GB"/>
        </w:rPr>
        <w:fldChar w:fldCharType="separate"/>
      </w:r>
      <w:r>
        <w:rPr>
          <w:noProof/>
          <w:lang w:val="en-GB"/>
        </w:rPr>
        <w:t>3</w:t>
      </w:r>
      <w:r w:rsidRPr="006F151C">
        <w:rPr>
          <w:noProof/>
          <w:lang w:val="en-GB"/>
        </w:rPr>
        <w:fldChar w:fldCharType="end"/>
      </w:r>
      <w:r w:rsidRPr="006F151C">
        <w:rPr>
          <w:lang w:val="en-GB"/>
        </w:rPr>
        <w:t xml:space="preserve">. </w:t>
      </w:r>
      <w:r w:rsidRPr="005C6066">
        <w:rPr>
          <w:lang w:val="en-GB"/>
        </w:rPr>
        <w:t>Scenario simulations, performed with Cyp-1fine, Cyp-2fine sub-models (see Fig 1 for the sub-model areas)</w:t>
      </w:r>
      <w:r w:rsidRPr="006F151C">
        <w:rPr>
          <w:lang w:val="en-GB"/>
        </w:rPr>
        <w:t>.</w:t>
      </w:r>
      <w:bookmarkEnd w:id="13"/>
    </w:p>
    <w:tbl>
      <w:tblPr>
        <w:tblStyle w:val="TableGrid"/>
        <w:tblW w:w="0" w:type="auto"/>
        <w:tblLook w:val="01E0" w:firstRow="1" w:lastRow="1" w:firstColumn="1" w:lastColumn="1" w:noHBand="0" w:noVBand="0"/>
      </w:tblPr>
      <w:tblGrid>
        <w:gridCol w:w="1980"/>
        <w:gridCol w:w="2551"/>
        <w:gridCol w:w="3408"/>
      </w:tblGrid>
      <w:tr w:rsidR="00E7711F" w14:paraId="2C6FF5CD" w14:textId="77777777" w:rsidTr="00EE2A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5ED4258" w14:textId="77777777" w:rsidR="00E7711F" w:rsidRDefault="00E7711F" w:rsidP="00EE2A65">
            <w:pPr>
              <w:pStyle w:val="BodyText"/>
              <w:jc w:val="both"/>
              <w:rPr>
                <w:rFonts w:ascii="Arial" w:hAnsi="Arial" w:cs="Arial"/>
              </w:rPr>
            </w:pPr>
            <w:r>
              <w:rPr>
                <w:rFonts w:ascii="Arial" w:hAnsi="Arial" w:cs="Arial"/>
              </w:rPr>
              <w:t>Production (kt)</w:t>
            </w:r>
          </w:p>
        </w:tc>
        <w:tc>
          <w:tcPr>
            <w:tcW w:w="2551" w:type="dxa"/>
          </w:tcPr>
          <w:p w14:paraId="3A170FDF" w14:textId="77777777" w:rsidR="00E7711F" w:rsidRDefault="00E7711F" w:rsidP="00EE2A65">
            <w:pPr>
              <w:pStyle w:val="BodyText"/>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Cyp-1fine</w:t>
            </w:r>
          </w:p>
        </w:tc>
        <w:tc>
          <w:tcPr>
            <w:tcW w:w="3408" w:type="dxa"/>
          </w:tcPr>
          <w:p w14:paraId="21C8B90D" w14:textId="77777777" w:rsidR="00E7711F" w:rsidRDefault="00E7711F" w:rsidP="00EE2A65">
            <w:pPr>
              <w:pStyle w:val="BodyText"/>
              <w:jc w:val="both"/>
              <w:cnfStyle w:val="100000000000" w:firstRow="1"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Cyp-2fine</w:t>
            </w:r>
          </w:p>
        </w:tc>
      </w:tr>
      <w:tr w:rsidR="00E7711F" w14:paraId="61C27054" w14:textId="77777777" w:rsidTr="00EE2A65">
        <w:tc>
          <w:tcPr>
            <w:cnfStyle w:val="001000000000" w:firstRow="0" w:lastRow="0" w:firstColumn="1" w:lastColumn="0" w:oddVBand="0" w:evenVBand="0" w:oddHBand="0" w:evenHBand="0" w:firstRowFirstColumn="0" w:firstRowLastColumn="0" w:lastRowFirstColumn="0" w:lastRowLastColumn="0"/>
            <w:tcW w:w="1980" w:type="dxa"/>
          </w:tcPr>
          <w:p w14:paraId="5E357749" w14:textId="77777777" w:rsidR="00E7711F" w:rsidRDefault="00E7711F" w:rsidP="00EE2A65">
            <w:pPr>
              <w:pStyle w:val="BodyText"/>
              <w:jc w:val="both"/>
              <w:rPr>
                <w:rFonts w:ascii="Arial" w:hAnsi="Arial" w:cs="Arial"/>
              </w:rPr>
            </w:pPr>
            <w:r>
              <w:rPr>
                <w:rFonts w:ascii="Arial" w:hAnsi="Arial" w:cs="Arial"/>
              </w:rPr>
              <w:t>Ref0_fine-2016</w:t>
            </w:r>
          </w:p>
        </w:tc>
        <w:tc>
          <w:tcPr>
            <w:tcW w:w="2551" w:type="dxa"/>
          </w:tcPr>
          <w:p w14:paraId="442E261A"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 fish farms</w:t>
            </w:r>
          </w:p>
        </w:tc>
        <w:tc>
          <w:tcPr>
            <w:tcW w:w="3408" w:type="dxa"/>
          </w:tcPr>
          <w:p w14:paraId="39789394"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 fish farms</w:t>
            </w:r>
          </w:p>
        </w:tc>
      </w:tr>
      <w:tr w:rsidR="00E7711F" w:rsidRPr="00701F6B" w14:paraId="6BE451BA" w14:textId="77777777" w:rsidTr="00EE2A65">
        <w:tc>
          <w:tcPr>
            <w:cnfStyle w:val="001000000000" w:firstRow="0" w:lastRow="0" w:firstColumn="1" w:lastColumn="0" w:oddVBand="0" w:evenVBand="0" w:oddHBand="0" w:evenHBand="0" w:firstRowFirstColumn="0" w:firstRowLastColumn="0" w:lastRowFirstColumn="0" w:lastRowLastColumn="0"/>
            <w:tcW w:w="1980" w:type="dxa"/>
          </w:tcPr>
          <w:p w14:paraId="7B5C1F01" w14:textId="77777777" w:rsidR="00E7711F" w:rsidRDefault="00E7711F" w:rsidP="00EE2A65">
            <w:pPr>
              <w:pStyle w:val="BodyText"/>
              <w:jc w:val="both"/>
              <w:rPr>
                <w:rFonts w:ascii="Arial" w:hAnsi="Arial" w:cs="Arial"/>
              </w:rPr>
            </w:pPr>
            <w:r>
              <w:rPr>
                <w:rFonts w:ascii="Arial" w:hAnsi="Arial" w:cs="Arial"/>
              </w:rPr>
              <w:t>Ref_fine-2016</w:t>
            </w:r>
          </w:p>
        </w:tc>
        <w:tc>
          <w:tcPr>
            <w:tcW w:w="2551" w:type="dxa"/>
          </w:tcPr>
          <w:p w14:paraId="181E5710"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Existing farms (8.5kt) </w:t>
            </w:r>
          </w:p>
        </w:tc>
        <w:tc>
          <w:tcPr>
            <w:tcW w:w="3408" w:type="dxa"/>
          </w:tcPr>
          <w:p w14:paraId="5EFEB14A" w14:textId="77777777" w:rsidR="00E7711F" w:rsidRDefault="00E7711F" w:rsidP="00EE2A65">
            <w:pPr>
              <w:pStyle w:val="BodyTex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w:t>
            </w:r>
          </w:p>
        </w:tc>
      </w:tr>
      <w:tr w:rsidR="00E7711F" w:rsidRPr="00701F6B" w14:paraId="4FAF0D7F" w14:textId="77777777" w:rsidTr="00EE2A65">
        <w:tc>
          <w:tcPr>
            <w:cnfStyle w:val="001000000000" w:firstRow="0" w:lastRow="0" w:firstColumn="1" w:lastColumn="0" w:oddVBand="0" w:evenVBand="0" w:oddHBand="0" w:evenHBand="0" w:firstRowFirstColumn="0" w:firstRowLastColumn="0" w:lastRowFirstColumn="0" w:lastRowLastColumn="0"/>
            <w:tcW w:w="1980" w:type="dxa"/>
          </w:tcPr>
          <w:p w14:paraId="3120315A" w14:textId="77777777" w:rsidR="00E7711F" w:rsidRDefault="00E7711F" w:rsidP="00EE2A65">
            <w:pPr>
              <w:pStyle w:val="BodyText"/>
              <w:jc w:val="both"/>
              <w:rPr>
                <w:rFonts w:ascii="Arial" w:hAnsi="Arial" w:cs="Arial"/>
              </w:rPr>
            </w:pPr>
            <w:r>
              <w:rPr>
                <w:rFonts w:ascii="Arial" w:hAnsi="Arial" w:cs="Arial"/>
              </w:rPr>
              <w:t>Sc1_fine-2016</w:t>
            </w:r>
          </w:p>
        </w:tc>
        <w:tc>
          <w:tcPr>
            <w:tcW w:w="2551" w:type="dxa"/>
          </w:tcPr>
          <w:p w14:paraId="3B120903"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Existing farms (8.5kt) </w:t>
            </w:r>
            <w:r>
              <w:rPr>
                <w:rFonts w:ascii="Arial" w:hAnsi="Arial" w:cs="Arial"/>
              </w:rPr>
              <w:br/>
              <w:t>+</w:t>
            </w:r>
          </w:p>
          <w:p w14:paraId="3DF07E39"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Governor (2kt)</w:t>
            </w:r>
          </w:p>
        </w:tc>
        <w:tc>
          <w:tcPr>
            <w:tcW w:w="3408" w:type="dxa"/>
          </w:tcPr>
          <w:p w14:paraId="4E272B25"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Xylofagou(2kt) / Larnaca (2kt)</w:t>
            </w:r>
          </w:p>
        </w:tc>
      </w:tr>
      <w:tr w:rsidR="00E7711F" w:rsidRPr="00701F6B" w14:paraId="2399F128" w14:textId="77777777" w:rsidTr="00EE2A65">
        <w:tc>
          <w:tcPr>
            <w:cnfStyle w:val="001000000000" w:firstRow="0" w:lastRow="0" w:firstColumn="1" w:lastColumn="0" w:oddVBand="0" w:evenVBand="0" w:oddHBand="0" w:evenHBand="0" w:firstRowFirstColumn="0" w:firstRowLastColumn="0" w:lastRowFirstColumn="0" w:lastRowLastColumn="0"/>
            <w:tcW w:w="1980" w:type="dxa"/>
          </w:tcPr>
          <w:p w14:paraId="09A59FED" w14:textId="77777777" w:rsidR="00E7711F" w:rsidRDefault="00E7711F" w:rsidP="00EE2A65">
            <w:pPr>
              <w:pStyle w:val="BodyText"/>
              <w:jc w:val="both"/>
              <w:rPr>
                <w:rFonts w:ascii="Arial" w:hAnsi="Arial" w:cs="Arial"/>
              </w:rPr>
            </w:pPr>
            <w:r>
              <w:rPr>
                <w:rFonts w:ascii="Arial" w:hAnsi="Arial" w:cs="Arial"/>
              </w:rPr>
              <w:t>Sc2_fine-2016</w:t>
            </w:r>
          </w:p>
        </w:tc>
        <w:tc>
          <w:tcPr>
            <w:tcW w:w="2551" w:type="dxa"/>
          </w:tcPr>
          <w:p w14:paraId="31F4F1F5"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Existing farms (8.5kt) </w:t>
            </w:r>
            <w:r>
              <w:rPr>
                <w:rFonts w:ascii="Arial" w:hAnsi="Arial" w:cs="Arial"/>
              </w:rPr>
              <w:br/>
              <w:t>+</w:t>
            </w:r>
          </w:p>
          <w:p w14:paraId="1CF319F3"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Governor (5kt)</w:t>
            </w:r>
          </w:p>
        </w:tc>
        <w:tc>
          <w:tcPr>
            <w:tcW w:w="3408" w:type="dxa"/>
          </w:tcPr>
          <w:p w14:paraId="35373FDE" w14:textId="77777777" w:rsidR="00E7711F" w:rsidRDefault="00E7711F" w:rsidP="00EE2A65">
            <w:pPr>
              <w:pStyle w:val="BodyText"/>
              <w:jc w:val="both"/>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Xylofagou(5kt) / Larnaca (3kt)</w:t>
            </w:r>
          </w:p>
        </w:tc>
      </w:tr>
    </w:tbl>
    <w:p w14:paraId="63C54646" w14:textId="77777777" w:rsidR="00E7711F" w:rsidRDefault="00E7711F" w:rsidP="00E7711F">
      <w:pPr>
        <w:pStyle w:val="BodyText"/>
        <w:jc w:val="both"/>
        <w:rPr>
          <w:rFonts w:ascii="Arial" w:hAnsi="Arial" w:cs="Arial"/>
        </w:rPr>
      </w:pPr>
    </w:p>
    <w:p w14:paraId="20639ED7" w14:textId="1D174E6A" w:rsidR="00E7711F" w:rsidRDefault="00E7711F" w:rsidP="00E7711F">
      <w:pPr>
        <w:pStyle w:val="BodyText"/>
        <w:jc w:val="both"/>
        <w:rPr>
          <w:rFonts w:ascii="Arial" w:hAnsi="Arial" w:cs="Arial"/>
        </w:rPr>
      </w:pPr>
      <w:r>
        <w:rPr>
          <w:rFonts w:ascii="Arial" w:hAnsi="Arial" w:cs="Arial"/>
        </w:rPr>
        <w:t xml:space="preserve">With the intermediate resolution sub-models (Cyp-1, Cyp-2, Cyp-3), reference simulations (Ref0) with no fish farms and high impact scenario simulations (Sc2), adopting the higher (5kt) production of the Open Sea aquaculture farms (along with existing farms) were performed for years 2016-2018. These simulations were performed to quantify the uncertainty in the simulated environmental impact, which is strongly related </w:t>
      </w:r>
      <w:r w:rsidR="00330B55">
        <w:rPr>
          <w:rFonts w:ascii="Arial" w:hAnsi="Arial" w:cs="Arial"/>
        </w:rPr>
        <w:t xml:space="preserve">to </w:t>
      </w:r>
      <w:r>
        <w:rPr>
          <w:rFonts w:ascii="Arial" w:hAnsi="Arial" w:cs="Arial"/>
        </w:rPr>
        <w:t xml:space="preserve">inter-annual variability in ocean circulation. In the case of Larnaca selected area, a relatively lower production (3,000 tonnes) was adopted for the </w:t>
      </w:r>
      <w:r w:rsidR="00330B55">
        <w:rPr>
          <w:rFonts w:ascii="Arial" w:hAnsi="Arial" w:cs="Arial"/>
        </w:rPr>
        <w:t>high-</w:t>
      </w:r>
      <w:r>
        <w:rPr>
          <w:rFonts w:ascii="Arial" w:hAnsi="Arial" w:cs="Arial"/>
        </w:rPr>
        <w:t>impact scenario, as in this area</w:t>
      </w:r>
      <w:r w:rsidR="00330B55">
        <w:rPr>
          <w:rFonts w:ascii="Arial" w:hAnsi="Arial" w:cs="Arial"/>
        </w:rPr>
        <w:t>,</w:t>
      </w:r>
      <w:r>
        <w:rPr>
          <w:rFonts w:ascii="Arial" w:hAnsi="Arial" w:cs="Arial"/>
        </w:rPr>
        <w:t xml:space="preserve"> there are geographical limitations and conflicts for </w:t>
      </w:r>
      <w:r w:rsidR="00330B55">
        <w:rPr>
          <w:rFonts w:ascii="Arial" w:hAnsi="Arial" w:cs="Arial"/>
        </w:rPr>
        <w:t>deploying</w:t>
      </w:r>
      <w:r>
        <w:rPr>
          <w:rFonts w:ascii="Arial" w:hAnsi="Arial" w:cs="Arial"/>
        </w:rPr>
        <w:t xml:space="preserve"> a higher production (see D11). Existing fish farms were included in Cyp-1 and Cyp-2</w:t>
      </w:r>
      <w:r w:rsidRPr="003A032C">
        <w:rPr>
          <w:rFonts w:ascii="Arial" w:hAnsi="Arial" w:cs="Arial"/>
        </w:rPr>
        <w:t xml:space="preserve"> sub</w:t>
      </w:r>
      <w:r>
        <w:rPr>
          <w:rFonts w:ascii="Arial" w:hAnsi="Arial" w:cs="Arial"/>
        </w:rPr>
        <w:t>-</w:t>
      </w:r>
      <w:r w:rsidRPr="003A032C">
        <w:rPr>
          <w:rFonts w:ascii="Arial" w:hAnsi="Arial" w:cs="Arial"/>
        </w:rPr>
        <w:t>models</w:t>
      </w:r>
      <w:r>
        <w:rPr>
          <w:rFonts w:ascii="Arial" w:hAnsi="Arial" w:cs="Arial"/>
        </w:rPr>
        <w:t xml:space="preserve">, as there no fish farms in the Cyp-3 </w:t>
      </w:r>
      <w:r w:rsidRPr="003A032C">
        <w:rPr>
          <w:rFonts w:ascii="Arial" w:hAnsi="Arial" w:cs="Arial"/>
        </w:rPr>
        <w:t>sub</w:t>
      </w:r>
      <w:r>
        <w:rPr>
          <w:rFonts w:ascii="Arial" w:hAnsi="Arial" w:cs="Arial"/>
        </w:rPr>
        <w:t>-</w:t>
      </w:r>
      <w:r w:rsidRPr="003A032C">
        <w:rPr>
          <w:rFonts w:ascii="Arial" w:hAnsi="Arial" w:cs="Arial"/>
        </w:rPr>
        <w:t>model</w:t>
      </w:r>
      <w:r>
        <w:rPr>
          <w:rFonts w:ascii="Arial" w:hAnsi="Arial" w:cs="Arial"/>
        </w:rPr>
        <w:t xml:space="preserve"> area in Western Cyprus. In Aphrodite’s hills area, the layout of </w:t>
      </w:r>
      <w:proofErr w:type="spellStart"/>
      <w:r>
        <w:rPr>
          <w:rFonts w:ascii="Arial" w:hAnsi="Arial" w:cs="Arial"/>
        </w:rPr>
        <w:t>Badinotti’s</w:t>
      </w:r>
      <w:proofErr w:type="spellEnd"/>
      <w:r>
        <w:rPr>
          <w:rFonts w:ascii="Arial" w:hAnsi="Arial" w:cs="Arial"/>
        </w:rPr>
        <w:t xml:space="preserve"> submerged cages was </w:t>
      </w:r>
      <w:r>
        <w:rPr>
          <w:rFonts w:ascii="Arial" w:hAnsi="Arial" w:cs="Arial"/>
        </w:rPr>
        <w:lastRenderedPageBreak/>
        <w:t>adopted, as this area is more exposed and submerged technology is probably better suited to address adverse weather conditions prevailing in this area (see D11). In all other cases, the Open Sea aquaculture layout was based on the Cypriot design, as this requires less space compared to all the other technologies and</w:t>
      </w:r>
      <w:r w:rsidR="00330B55">
        <w:rPr>
          <w:rFonts w:ascii="Arial" w:hAnsi="Arial" w:cs="Arial"/>
        </w:rPr>
        <w:t>,</w:t>
      </w:r>
      <w:r>
        <w:rPr>
          <w:rFonts w:ascii="Arial" w:hAnsi="Arial" w:cs="Arial"/>
        </w:rPr>
        <w:t xml:space="preserve"> therefore</w:t>
      </w:r>
      <w:r w:rsidR="00330B55">
        <w:rPr>
          <w:rFonts w:ascii="Arial" w:hAnsi="Arial" w:cs="Arial"/>
        </w:rPr>
        <w:t>,</w:t>
      </w:r>
      <w:r>
        <w:rPr>
          <w:rFonts w:ascii="Arial" w:hAnsi="Arial" w:cs="Arial"/>
        </w:rPr>
        <w:t xml:space="preserve"> can be used to test the limits of the ecosystems and identify the carrying capacity in each selected area (see D11). </w:t>
      </w:r>
    </w:p>
    <w:p w14:paraId="28D16A4F" w14:textId="583BC099" w:rsidR="00E7711F" w:rsidRPr="00794360" w:rsidRDefault="00E7711F" w:rsidP="00E7711F">
      <w:pPr>
        <w:pStyle w:val="Heading3"/>
        <w:numPr>
          <w:ilvl w:val="2"/>
          <w:numId w:val="40"/>
        </w:numPr>
        <w:rPr>
          <w:highlight w:val="white"/>
          <w:lang w:val="en-GB"/>
        </w:rPr>
      </w:pPr>
      <w:bookmarkStart w:id="14" w:name="_Toc145304815"/>
      <w:r>
        <w:rPr>
          <w:highlight w:val="white"/>
          <w:lang w:val="en-GB"/>
        </w:rPr>
        <w:t>Uncertainty / Inter-annual variability</w:t>
      </w:r>
      <w:bookmarkEnd w:id="14"/>
      <w:r w:rsidRPr="00794360">
        <w:rPr>
          <w:highlight w:val="white"/>
          <w:lang w:val="en-GB"/>
        </w:rPr>
        <w:t xml:space="preserve"> </w:t>
      </w:r>
    </w:p>
    <w:p w14:paraId="59581BC8" w14:textId="77777777" w:rsidR="00E7711F" w:rsidRDefault="00E7711F" w:rsidP="00E7711F">
      <w:pPr>
        <w:pStyle w:val="BodyText"/>
        <w:jc w:val="both"/>
        <w:rPr>
          <w:rFonts w:ascii="Arial" w:hAnsi="Arial" w:cs="Arial"/>
        </w:rPr>
      </w:pPr>
      <w:r>
        <w:rPr>
          <w:rFonts w:ascii="Arial" w:hAnsi="Arial" w:cs="Arial"/>
          <w:noProof/>
          <w:lang w:eastAsia="en-GB"/>
        </w:rPr>
        <w:drawing>
          <wp:inline distT="0" distB="0" distL="0" distR="0" wp14:anchorId="4D166A88" wp14:editId="7001AF9B">
            <wp:extent cx="2821952" cy="538241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rotWithShape="1">
                    <a:blip r:embed="rId20">
                      <a:extLst>
                        <a:ext uri="{28A0092B-C50C-407E-A947-70E740481C1C}">
                          <a14:useLocalDpi xmlns:a14="http://schemas.microsoft.com/office/drawing/2010/main" val="0"/>
                        </a:ext>
                      </a:extLst>
                    </a:blip>
                    <a:srcRect l="17548" r="12085" b="9142"/>
                    <a:stretch/>
                  </pic:blipFill>
                  <pic:spPr bwMode="auto">
                    <a:xfrm>
                      <a:off x="0" y="0"/>
                      <a:ext cx="2861967" cy="5458739"/>
                    </a:xfrm>
                    <a:prstGeom prst="rect">
                      <a:avLst/>
                    </a:prstGeom>
                    <a:ln>
                      <a:noFill/>
                    </a:ln>
                    <a:extLst>
                      <a:ext uri="{53640926-AAD7-44D8-BBD7-CCE9431645EC}">
                        <a14:shadowObscured xmlns:a14="http://schemas.microsoft.com/office/drawing/2010/main"/>
                      </a:ext>
                    </a:extLst>
                  </pic:spPr>
                </pic:pic>
              </a:graphicData>
            </a:graphic>
          </wp:inline>
        </w:drawing>
      </w:r>
    </w:p>
    <w:p w14:paraId="242E9E6D" w14:textId="574592B9" w:rsidR="00E7711F" w:rsidRPr="005A25DE" w:rsidRDefault="00EE2A65" w:rsidP="00E7711F">
      <w:pPr>
        <w:pStyle w:val="Caption"/>
        <w:rPr>
          <w:lang w:val="en-GB"/>
        </w:rPr>
      </w:pPr>
      <w:bookmarkStart w:id="15" w:name="_Toc90658075"/>
      <w:bookmarkStart w:id="16" w:name="_Toc144800886"/>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2</w:t>
      </w:r>
      <w:r w:rsidRPr="00794360">
        <w:rPr>
          <w:noProof/>
          <w:lang w:val="en-GB"/>
        </w:rPr>
        <w:fldChar w:fldCharType="end"/>
      </w:r>
      <w:r w:rsidRPr="00794360">
        <w:rPr>
          <w:lang w:val="en-GB"/>
        </w:rPr>
        <w:t xml:space="preserve">: </w:t>
      </w:r>
      <w:r w:rsidR="00E7711F" w:rsidRPr="00DC1293">
        <w:rPr>
          <w:lang w:val="en-GB"/>
        </w:rPr>
        <w:t xml:space="preserve">Simulated mean </w:t>
      </w:r>
      <w:r w:rsidR="00E7711F">
        <w:rPr>
          <w:lang w:val="en-GB"/>
        </w:rPr>
        <w:t xml:space="preserve">spring </w:t>
      </w:r>
      <w:r w:rsidR="00E7711F" w:rsidRPr="00DC1293">
        <w:rPr>
          <w:lang w:val="en-GB"/>
        </w:rPr>
        <w:t>near surface current velocity and phosphates (PO4) fractional change (Sc2</w:t>
      </w:r>
      <w:r w:rsidR="00E7711F">
        <w:rPr>
          <w:lang w:val="en-GB"/>
        </w:rPr>
        <w:t>/Ref0</w:t>
      </w:r>
      <w:r w:rsidR="00E7711F" w:rsidRPr="00DC1293">
        <w:rPr>
          <w:lang w:val="en-GB"/>
        </w:rPr>
        <w:t>-1) during 2016</w:t>
      </w:r>
      <w:r w:rsidR="00E7711F">
        <w:rPr>
          <w:lang w:val="en-GB"/>
        </w:rPr>
        <w:t>, 2017 and 2018.</w:t>
      </w:r>
      <w:r w:rsidR="00E7711F" w:rsidRPr="00DC1293">
        <w:rPr>
          <w:lang w:val="en-GB"/>
        </w:rPr>
        <w:t xml:space="preserve"> The scenario simulation (Sc2) includes the impact from existing coastal fish farms (see Fig.</w:t>
      </w:r>
      <w:r w:rsidR="00E7711F">
        <w:rPr>
          <w:lang w:val="en-GB"/>
        </w:rPr>
        <w:t>1</w:t>
      </w:r>
      <w:r w:rsidR="00E7711F" w:rsidRPr="00DC1293">
        <w:rPr>
          <w:lang w:val="en-GB"/>
        </w:rPr>
        <w:t>) and also Governor’s beach (5kt) open sea aquaculture. The reference (Ref0) simulation has no fish farms. A fractional change=0.5 indicates an increase of +50%</w:t>
      </w:r>
      <w:r w:rsidR="00E7711F" w:rsidRPr="00794360">
        <w:rPr>
          <w:lang w:val="en-GB"/>
        </w:rPr>
        <w:t>.</w:t>
      </w:r>
      <w:bookmarkEnd w:id="15"/>
      <w:bookmarkEnd w:id="16"/>
      <w:r w:rsidR="00E7711F" w:rsidRPr="00794360">
        <w:rPr>
          <w:lang w:val="en-GB"/>
        </w:rPr>
        <w:t xml:space="preserve"> </w:t>
      </w:r>
    </w:p>
    <w:p w14:paraId="2B807C1D" w14:textId="10AABAD4" w:rsidR="00E7711F" w:rsidRDefault="00E7711F" w:rsidP="00E7711F">
      <w:pPr>
        <w:pStyle w:val="BodyText"/>
        <w:jc w:val="both"/>
        <w:rPr>
          <w:rFonts w:ascii="Arial" w:hAnsi="Arial" w:cs="Arial"/>
        </w:rPr>
      </w:pPr>
      <w:r>
        <w:rPr>
          <w:rFonts w:ascii="Arial" w:hAnsi="Arial" w:cs="Arial"/>
        </w:rPr>
        <w:t xml:space="preserve">In Figure 2, the mean relative increase of phosphates, resulting from both existing and new open sea fish farms (Governor’s beach and Larnaca) in Cyp-1 area is shown over different years (2016-2018) for spring period, when the effect from fish farms is relatively stronger due to higher aquaculture effluents (see D11). </w:t>
      </w:r>
      <w:r w:rsidRPr="778BF37A">
        <w:rPr>
          <w:rFonts w:ascii="Arial" w:hAnsi="Arial" w:cs="Arial"/>
        </w:rPr>
        <w:t xml:space="preserve">The prevailing </w:t>
      </w:r>
      <w:r w:rsidRPr="778BF37A">
        <w:rPr>
          <w:rFonts w:ascii="Arial" w:hAnsi="Arial" w:cs="Arial"/>
        </w:rPr>
        <w:lastRenderedPageBreak/>
        <w:t xml:space="preserve">circulation during </w:t>
      </w:r>
      <w:r>
        <w:rPr>
          <w:rFonts w:ascii="Arial" w:hAnsi="Arial" w:cs="Arial"/>
        </w:rPr>
        <w:t xml:space="preserve">this </w:t>
      </w:r>
      <w:r w:rsidRPr="778BF37A">
        <w:rPr>
          <w:rFonts w:ascii="Arial" w:hAnsi="Arial" w:cs="Arial"/>
        </w:rPr>
        <w:t>period is characterized by a north</w:t>
      </w:r>
      <w:r>
        <w:rPr>
          <w:rFonts w:ascii="Arial" w:hAnsi="Arial" w:cs="Arial"/>
        </w:rPr>
        <w:t>-</w:t>
      </w:r>
      <w:r w:rsidRPr="778BF37A">
        <w:rPr>
          <w:rFonts w:ascii="Arial" w:hAnsi="Arial" w:cs="Arial"/>
        </w:rPr>
        <w:t xml:space="preserve">eastern current, as part of the dominant </w:t>
      </w:r>
      <w:r>
        <w:rPr>
          <w:rFonts w:ascii="Arial" w:hAnsi="Arial" w:cs="Arial"/>
        </w:rPr>
        <w:t xml:space="preserve">large-scale </w:t>
      </w:r>
      <w:r w:rsidRPr="778BF37A">
        <w:rPr>
          <w:rFonts w:ascii="Arial" w:hAnsi="Arial" w:cs="Arial"/>
        </w:rPr>
        <w:t>anti</w:t>
      </w:r>
      <w:r w:rsidR="00330B55">
        <w:rPr>
          <w:rFonts w:ascii="Arial" w:hAnsi="Arial" w:cs="Arial"/>
        </w:rPr>
        <w:t>-</w:t>
      </w:r>
      <w:r w:rsidRPr="778BF37A">
        <w:rPr>
          <w:rFonts w:ascii="Arial" w:hAnsi="Arial" w:cs="Arial"/>
        </w:rPr>
        <w:t>cyclonic circulation in the southeast Cyprus</w:t>
      </w:r>
      <w:r>
        <w:rPr>
          <w:rFonts w:ascii="Arial" w:hAnsi="Arial" w:cs="Arial"/>
        </w:rPr>
        <w:t xml:space="preserve"> open sea area and a smaller cyclonic eddy in </w:t>
      </w:r>
      <w:proofErr w:type="spellStart"/>
      <w:r>
        <w:rPr>
          <w:rFonts w:ascii="Arial" w:hAnsi="Arial" w:cs="Arial"/>
        </w:rPr>
        <w:t>Akrotiri</w:t>
      </w:r>
      <w:proofErr w:type="spellEnd"/>
      <w:r>
        <w:rPr>
          <w:rFonts w:ascii="Arial" w:hAnsi="Arial" w:cs="Arial"/>
        </w:rPr>
        <w:t xml:space="preserve"> </w:t>
      </w:r>
      <w:r w:rsidR="00330B55">
        <w:rPr>
          <w:rFonts w:ascii="Arial" w:hAnsi="Arial" w:cs="Arial"/>
        </w:rPr>
        <w:t>Bay</w:t>
      </w:r>
      <w:r>
        <w:rPr>
          <w:rFonts w:ascii="Arial" w:hAnsi="Arial" w:cs="Arial"/>
        </w:rPr>
        <w:t>.</w:t>
      </w:r>
      <w:r w:rsidRPr="778BF37A">
        <w:rPr>
          <w:rFonts w:ascii="Arial" w:hAnsi="Arial" w:cs="Arial"/>
        </w:rPr>
        <w:t xml:space="preserve"> </w:t>
      </w:r>
      <w:r>
        <w:rPr>
          <w:rFonts w:ascii="Arial" w:hAnsi="Arial" w:cs="Arial"/>
        </w:rPr>
        <w:t xml:space="preserve">A similar pattern may be seen in all three years, with the westward cyclonic coastal circulation being slightly intensified during 2018. Thus, effluents from existing farms and the open sea farm at Governor’s </w:t>
      </w:r>
      <w:r w:rsidR="00330B55">
        <w:rPr>
          <w:rFonts w:ascii="Arial" w:hAnsi="Arial" w:cs="Arial"/>
        </w:rPr>
        <w:t xml:space="preserve">Beach </w:t>
      </w:r>
      <w:r>
        <w:rPr>
          <w:rFonts w:ascii="Arial" w:hAnsi="Arial" w:cs="Arial"/>
        </w:rPr>
        <w:t xml:space="preserve">area mainly follow a north-eastward pathway, partly directed to the west in </w:t>
      </w:r>
      <w:proofErr w:type="spellStart"/>
      <w:r>
        <w:rPr>
          <w:rFonts w:ascii="Arial" w:hAnsi="Arial" w:cs="Arial"/>
        </w:rPr>
        <w:t>Akrotiri</w:t>
      </w:r>
      <w:proofErr w:type="spellEnd"/>
      <w:r>
        <w:rPr>
          <w:rFonts w:ascii="Arial" w:hAnsi="Arial" w:cs="Arial"/>
        </w:rPr>
        <w:t xml:space="preserve"> </w:t>
      </w:r>
      <w:r w:rsidR="00330B55">
        <w:rPr>
          <w:rFonts w:ascii="Arial" w:hAnsi="Arial" w:cs="Arial"/>
        </w:rPr>
        <w:t>Bay</w:t>
      </w:r>
      <w:r>
        <w:rPr>
          <w:rFonts w:ascii="Arial" w:hAnsi="Arial" w:cs="Arial"/>
        </w:rPr>
        <w:t xml:space="preserve">, particularly during 2018. The relatively stronger effect of fish farms during 2018, indicated by the higher fractional change of phosphates, may be attributed to the overall weaker currents (see Fig.2) and the relatively higher stratification/temperature (see Fig.3). However, this does not necessarily result in worse environmental conditions. </w:t>
      </w:r>
      <w:r w:rsidR="00330B55">
        <w:rPr>
          <w:rFonts w:ascii="Arial" w:hAnsi="Arial" w:cs="Arial"/>
        </w:rPr>
        <w:t>T</w:t>
      </w:r>
      <w:r>
        <w:rPr>
          <w:rFonts w:ascii="Arial" w:hAnsi="Arial" w:cs="Arial"/>
        </w:rPr>
        <w:t xml:space="preserve">he increased stratification results in an overall decrease </w:t>
      </w:r>
      <w:r w:rsidR="00330B55">
        <w:rPr>
          <w:rFonts w:ascii="Arial" w:hAnsi="Arial" w:cs="Arial"/>
        </w:rPr>
        <w:t xml:space="preserve">in </w:t>
      </w:r>
      <w:r>
        <w:rPr>
          <w:rFonts w:ascii="Arial" w:hAnsi="Arial" w:cs="Arial"/>
        </w:rPr>
        <w:t xml:space="preserve">plankton productivity and dissolved inorganic nutrients concentrations in the area (also noticed in the simulation with no fish farms, not shown), as these are strongly related </w:t>
      </w:r>
      <w:r w:rsidR="00330B55">
        <w:rPr>
          <w:rFonts w:ascii="Arial" w:hAnsi="Arial" w:cs="Arial"/>
        </w:rPr>
        <w:t xml:space="preserve">to </w:t>
      </w:r>
      <w:r>
        <w:rPr>
          <w:rFonts w:ascii="Arial" w:hAnsi="Arial" w:cs="Arial"/>
        </w:rPr>
        <w:t xml:space="preserve">vertical mixing processes and advection from offshore areas. Thus, as shown in Figure 4, the eutrophication index significantly decreased in spring 2018. The eutrophication index is slightly higher in 2017 overall, compared to 2016 (see also Fig.5), due to relatively stronger late winter vertical mixing (not shown).  </w:t>
      </w:r>
    </w:p>
    <w:p w14:paraId="7B262711" w14:textId="77777777" w:rsidR="00E7711F" w:rsidRDefault="00E7711F" w:rsidP="00E7711F">
      <w:pPr>
        <w:pStyle w:val="BodyText"/>
        <w:jc w:val="both"/>
        <w:rPr>
          <w:rFonts w:ascii="Arial" w:hAnsi="Arial" w:cs="Arial"/>
        </w:rPr>
      </w:pPr>
      <w:r>
        <w:rPr>
          <w:rFonts w:ascii="Arial" w:hAnsi="Arial" w:cs="Arial"/>
          <w:noProof/>
          <w:lang w:eastAsia="en-GB"/>
        </w:rPr>
        <w:drawing>
          <wp:inline distT="0" distB="0" distL="0" distR="0" wp14:anchorId="0BBAC319" wp14:editId="16DB5E3E">
            <wp:extent cx="4629150" cy="379853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rotWithShape="1">
                    <a:blip r:embed="rId21">
                      <a:extLst>
                        <a:ext uri="{28A0092B-C50C-407E-A947-70E740481C1C}">
                          <a14:useLocalDpi xmlns:a14="http://schemas.microsoft.com/office/drawing/2010/main" val="0"/>
                        </a:ext>
                      </a:extLst>
                    </a:blip>
                    <a:srcRect l="14882" t="7448" r="9547" b="26054"/>
                    <a:stretch/>
                  </pic:blipFill>
                  <pic:spPr bwMode="auto">
                    <a:xfrm>
                      <a:off x="0" y="0"/>
                      <a:ext cx="4650877" cy="3816365"/>
                    </a:xfrm>
                    <a:prstGeom prst="rect">
                      <a:avLst/>
                    </a:prstGeom>
                    <a:ln>
                      <a:noFill/>
                    </a:ln>
                    <a:extLst>
                      <a:ext uri="{53640926-AAD7-44D8-BBD7-CCE9431645EC}">
                        <a14:shadowObscured xmlns:a14="http://schemas.microsoft.com/office/drawing/2010/main"/>
                      </a:ext>
                    </a:extLst>
                  </pic:spPr>
                </pic:pic>
              </a:graphicData>
            </a:graphic>
          </wp:inline>
        </w:drawing>
      </w:r>
      <w:r>
        <w:rPr>
          <w:rFonts w:ascii="Arial" w:hAnsi="Arial" w:cs="Arial"/>
        </w:rPr>
        <w:t xml:space="preserve">   </w:t>
      </w:r>
    </w:p>
    <w:p w14:paraId="5970C52E" w14:textId="59758D03" w:rsidR="00EE2A65" w:rsidRPr="005A25DE" w:rsidRDefault="00EE2A65" w:rsidP="00EE2A65">
      <w:pPr>
        <w:pStyle w:val="Caption"/>
        <w:rPr>
          <w:lang w:val="en-GB"/>
        </w:rPr>
      </w:pPr>
      <w:bookmarkStart w:id="17" w:name="_Toc144800887"/>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3</w:t>
      </w:r>
      <w:r w:rsidRPr="00794360">
        <w:rPr>
          <w:noProof/>
          <w:lang w:val="en-GB"/>
        </w:rPr>
        <w:fldChar w:fldCharType="end"/>
      </w:r>
      <w:r w:rsidRPr="00794360">
        <w:rPr>
          <w:lang w:val="en-GB"/>
        </w:rPr>
        <w:t xml:space="preserve">: </w:t>
      </w:r>
      <w:r w:rsidRPr="00EE2A65">
        <w:rPr>
          <w:lang w:val="en-GB"/>
        </w:rPr>
        <w:t>Simulated (left) and satellite (right) mean spring sea surface temperature (SST) over 2016 (top), 2017 (middle) and 2018 (bottom) period</w:t>
      </w:r>
      <w:r w:rsidRPr="00794360">
        <w:rPr>
          <w:lang w:val="en-GB"/>
        </w:rPr>
        <w:t>.</w:t>
      </w:r>
      <w:bookmarkEnd w:id="17"/>
      <w:r w:rsidRPr="00794360">
        <w:rPr>
          <w:lang w:val="en-GB"/>
        </w:rPr>
        <w:t xml:space="preserve"> </w:t>
      </w:r>
    </w:p>
    <w:p w14:paraId="52887EAE" w14:textId="77777777" w:rsidR="00EE2A65" w:rsidRPr="00EE2A65" w:rsidRDefault="00EE2A65" w:rsidP="00EE2A65">
      <w:pPr>
        <w:rPr>
          <w:lang w:val="en-GB"/>
        </w:rPr>
      </w:pPr>
    </w:p>
    <w:p w14:paraId="34FDC254" w14:textId="77777777" w:rsidR="00E7711F" w:rsidRDefault="00E7711F" w:rsidP="00E7711F">
      <w:pPr>
        <w:pStyle w:val="BodyText"/>
        <w:jc w:val="both"/>
        <w:rPr>
          <w:rFonts w:ascii="Arial" w:hAnsi="Arial" w:cs="Arial"/>
        </w:rPr>
      </w:pPr>
      <w:r>
        <w:rPr>
          <w:rFonts w:ascii="Arial" w:hAnsi="Arial" w:cs="Arial"/>
          <w:noProof/>
          <w:lang w:eastAsia="en-GB"/>
        </w:rPr>
        <w:lastRenderedPageBreak/>
        <w:drawing>
          <wp:inline distT="0" distB="0" distL="0" distR="0" wp14:anchorId="78BB20ED" wp14:editId="3DEB0AFA">
            <wp:extent cx="2770015" cy="467662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22">
                      <a:extLst>
                        <a:ext uri="{28A0092B-C50C-407E-A947-70E740481C1C}">
                          <a14:useLocalDpi xmlns:a14="http://schemas.microsoft.com/office/drawing/2010/main" val="0"/>
                        </a:ext>
                      </a:extLst>
                    </a:blip>
                    <a:srcRect l="7951" r="8481" b="7814"/>
                    <a:stretch/>
                  </pic:blipFill>
                  <pic:spPr bwMode="auto">
                    <a:xfrm>
                      <a:off x="0" y="0"/>
                      <a:ext cx="2788597" cy="4707994"/>
                    </a:xfrm>
                    <a:prstGeom prst="rect">
                      <a:avLst/>
                    </a:prstGeom>
                    <a:ln>
                      <a:noFill/>
                    </a:ln>
                    <a:extLst>
                      <a:ext uri="{53640926-AAD7-44D8-BBD7-CCE9431645EC}">
                        <a14:shadowObscured xmlns:a14="http://schemas.microsoft.com/office/drawing/2010/main"/>
                      </a:ext>
                    </a:extLst>
                  </pic:spPr>
                </pic:pic>
              </a:graphicData>
            </a:graphic>
          </wp:inline>
        </w:drawing>
      </w:r>
    </w:p>
    <w:p w14:paraId="6BEEAB4B" w14:textId="0E208B76" w:rsidR="00EE2A65" w:rsidRPr="005A25DE" w:rsidRDefault="00EE2A65" w:rsidP="00EE2A65">
      <w:pPr>
        <w:pStyle w:val="Caption"/>
        <w:rPr>
          <w:lang w:val="en-GB"/>
        </w:rPr>
      </w:pPr>
      <w:bookmarkStart w:id="18" w:name="_Toc144800888"/>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4</w:t>
      </w:r>
      <w:r w:rsidRPr="00794360">
        <w:rPr>
          <w:noProof/>
          <w:lang w:val="en-GB"/>
        </w:rPr>
        <w:fldChar w:fldCharType="end"/>
      </w:r>
      <w:r w:rsidRPr="00794360">
        <w:rPr>
          <w:lang w:val="en-GB"/>
        </w:rPr>
        <w:t xml:space="preserve">: </w:t>
      </w:r>
      <w:r w:rsidRPr="00EE2A65">
        <w:rPr>
          <w:lang w:val="en-GB"/>
        </w:rPr>
        <w:t>Simulated Eutrophication Index (E.I) with Cyp-1 sub-model, during spring 2016 (top), 2017 (middle) and 2018 (bottom), indicating environmental status (&lt;0.04 very good, 0.04 - 0.38 good, 0.38 - 0.85 moderate, 0.85 - 1.51 poor, &gt; 1.51 bad) in high impact scenario simulation (Sc2, see Table 1) with existing fish farms, Governor’s beach (5kt) and Larnaca (3kt) open sea farms. Existing (magenta dots) and new (black dots) OS farms locations are indicated</w:t>
      </w:r>
      <w:r w:rsidRPr="00794360">
        <w:rPr>
          <w:lang w:val="en-GB"/>
        </w:rPr>
        <w:t>.</w:t>
      </w:r>
      <w:bookmarkEnd w:id="18"/>
      <w:r w:rsidRPr="00794360">
        <w:rPr>
          <w:lang w:val="en-GB"/>
        </w:rPr>
        <w:t xml:space="preserve"> </w:t>
      </w:r>
    </w:p>
    <w:p w14:paraId="13923B03" w14:textId="77777777" w:rsidR="00EE2A65" w:rsidRDefault="00EE2A65" w:rsidP="00EE2A65">
      <w:pPr>
        <w:rPr>
          <w:lang w:val="en-GB"/>
        </w:rPr>
      </w:pPr>
    </w:p>
    <w:p w14:paraId="00F5334F" w14:textId="77777777" w:rsidR="00D50E37" w:rsidRDefault="00D50E37" w:rsidP="00EE2A65">
      <w:pPr>
        <w:rPr>
          <w:lang w:val="en-GB"/>
        </w:rPr>
      </w:pPr>
    </w:p>
    <w:p w14:paraId="036C7072" w14:textId="77777777" w:rsidR="00D50E37" w:rsidRDefault="00D50E37" w:rsidP="00EE2A65">
      <w:pPr>
        <w:rPr>
          <w:lang w:val="en-GB"/>
        </w:rPr>
      </w:pPr>
    </w:p>
    <w:p w14:paraId="2E70A0EB" w14:textId="77777777" w:rsidR="00D50E37" w:rsidRDefault="00D50E37" w:rsidP="00EE2A65">
      <w:pPr>
        <w:rPr>
          <w:lang w:val="en-GB"/>
        </w:rPr>
      </w:pPr>
    </w:p>
    <w:p w14:paraId="169F6455" w14:textId="77777777" w:rsidR="00D50E37" w:rsidRPr="00EE2A65" w:rsidRDefault="00D50E37" w:rsidP="00EE2A65">
      <w:pPr>
        <w:rPr>
          <w:lang w:val="en-GB"/>
        </w:rPr>
      </w:pPr>
    </w:p>
    <w:p w14:paraId="6A86B835" w14:textId="60A43084" w:rsidR="00E7711F" w:rsidRDefault="00E7711F" w:rsidP="00E7711F">
      <w:pPr>
        <w:pStyle w:val="BodyText"/>
        <w:jc w:val="both"/>
        <w:rPr>
          <w:rFonts w:ascii="Arial" w:hAnsi="Arial" w:cs="Arial"/>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3901"/>
        <w:gridCol w:w="2542"/>
      </w:tblGrid>
      <w:tr w:rsidR="00D50E37" w14:paraId="7DC204C2" w14:textId="77777777" w:rsidTr="00D50E3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10E19AC" w14:textId="15E63516" w:rsidR="00D50E37" w:rsidRDefault="00D50E37" w:rsidP="00EE2A65">
            <w:pPr>
              <w:pStyle w:val="Caption"/>
              <w:rPr>
                <w:lang w:val="en-GB"/>
              </w:rPr>
            </w:pPr>
            <w:bookmarkStart w:id="19" w:name="_Toc144800889"/>
            <w:r>
              <w:rPr>
                <w:rFonts w:cs="Arial"/>
                <w:noProof/>
                <w:lang w:eastAsia="en-GB"/>
              </w:rPr>
              <w:lastRenderedPageBreak/>
              <w:drawing>
                <wp:inline distT="0" distB="0" distL="0" distR="0" wp14:anchorId="3B8F4D82" wp14:editId="35732858">
                  <wp:extent cx="1605087" cy="1142549"/>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rotWithShape="1">
                          <a:blip r:embed="rId23" cstate="print">
                            <a:extLst>
                              <a:ext uri="{28A0092B-C50C-407E-A947-70E740481C1C}">
                                <a14:useLocalDpi xmlns:a14="http://schemas.microsoft.com/office/drawing/2010/main" val="0"/>
                              </a:ext>
                            </a:extLst>
                          </a:blip>
                          <a:srcRect l="5263" t="-3392" r="8252" b="2042"/>
                          <a:stretch/>
                        </pic:blipFill>
                        <pic:spPr bwMode="auto">
                          <a:xfrm>
                            <a:off x="0" y="0"/>
                            <a:ext cx="1665269" cy="1185388"/>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4FB96AE" w14:textId="17CB5E3A" w:rsidR="00D50E37" w:rsidRDefault="00D50E37" w:rsidP="00EE2A65">
            <w:pPr>
              <w:pStyle w:val="Caption"/>
              <w:cnfStyle w:val="100000000000" w:firstRow="1" w:lastRow="0" w:firstColumn="0" w:lastColumn="0" w:oddVBand="0" w:evenVBand="0" w:oddHBand="0" w:evenHBand="0" w:firstRowFirstColumn="0" w:firstRowLastColumn="0" w:lastRowFirstColumn="0" w:lastRowLastColumn="0"/>
              <w:rPr>
                <w:lang w:val="en-GB"/>
              </w:rPr>
            </w:pPr>
            <w:r>
              <w:rPr>
                <w:rFonts w:cs="Arial"/>
                <w:noProof/>
                <w:lang w:eastAsia="en-GB"/>
              </w:rPr>
              <w:drawing>
                <wp:inline distT="0" distB="0" distL="0" distR="0" wp14:anchorId="6FEAA751" wp14:editId="24719BCF">
                  <wp:extent cx="2438400" cy="11322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24" cstate="print">
                            <a:extLst>
                              <a:ext uri="{28A0092B-C50C-407E-A947-70E740481C1C}">
                                <a14:useLocalDpi xmlns:a14="http://schemas.microsoft.com/office/drawing/2010/main" val="0"/>
                              </a:ext>
                            </a:extLst>
                          </a:blip>
                          <a:srcRect l="7773" r="1774" b="8699"/>
                          <a:stretch/>
                        </pic:blipFill>
                        <pic:spPr bwMode="auto">
                          <a:xfrm>
                            <a:off x="0" y="0"/>
                            <a:ext cx="2473529" cy="1148586"/>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2D057B8" w14:textId="5C87D85A" w:rsidR="00D50E37" w:rsidRDefault="00D50E37" w:rsidP="00EE2A65">
            <w:pPr>
              <w:pStyle w:val="Caption"/>
              <w:cnfStyle w:val="100000000000" w:firstRow="1" w:lastRow="0" w:firstColumn="0" w:lastColumn="0" w:oddVBand="0" w:evenVBand="0" w:oddHBand="0" w:evenHBand="0" w:firstRowFirstColumn="0" w:firstRowLastColumn="0" w:lastRowFirstColumn="0" w:lastRowLastColumn="0"/>
              <w:rPr>
                <w:lang w:val="en-GB"/>
              </w:rPr>
            </w:pPr>
            <w:r>
              <w:rPr>
                <w:rFonts w:cs="Arial"/>
                <w:noProof/>
                <w:lang w:eastAsia="en-GB"/>
              </w:rPr>
              <w:drawing>
                <wp:inline distT="0" distB="0" distL="0" distR="0" wp14:anchorId="6283D9EC" wp14:editId="4E7454F6">
                  <wp:extent cx="1503680" cy="1590576"/>
                  <wp:effectExtent l="0" t="0" r="127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25" cstate="print">
                            <a:extLst>
                              <a:ext uri="{28A0092B-C50C-407E-A947-70E740481C1C}">
                                <a14:useLocalDpi xmlns:a14="http://schemas.microsoft.com/office/drawing/2010/main" val="0"/>
                              </a:ext>
                            </a:extLst>
                          </a:blip>
                          <a:srcRect l="14197" t="-26515" r="7728" b="-69030"/>
                          <a:stretch/>
                        </pic:blipFill>
                        <pic:spPr bwMode="auto">
                          <a:xfrm>
                            <a:off x="0" y="0"/>
                            <a:ext cx="1539979" cy="1628973"/>
                          </a:xfrm>
                          <a:prstGeom prst="rect">
                            <a:avLst/>
                          </a:prstGeom>
                          <a:ln>
                            <a:noFill/>
                          </a:ln>
                          <a:extLst>
                            <a:ext uri="{53640926-AAD7-44D8-BBD7-CCE9431645EC}">
                              <a14:shadowObscured xmlns:a14="http://schemas.microsoft.com/office/drawing/2010/main"/>
                            </a:ext>
                          </a:extLst>
                        </pic:spPr>
                      </pic:pic>
                    </a:graphicData>
                  </a:graphic>
                </wp:inline>
              </w:drawing>
            </w:r>
          </w:p>
        </w:tc>
      </w:tr>
      <w:tr w:rsidR="00D50E37" w14:paraId="7DF99811" w14:textId="77777777" w:rsidTr="00D50E37">
        <w:tc>
          <w:tcPr>
            <w:cnfStyle w:val="001000000000" w:firstRow="0" w:lastRow="0" w:firstColumn="1" w:lastColumn="0" w:oddVBand="0" w:evenVBand="0" w:oddHBand="0" w:evenHBand="0" w:firstRowFirstColumn="0" w:firstRowLastColumn="0" w:lastRowFirstColumn="0" w:lastRowLastColumn="0"/>
            <w:tcW w:w="3020" w:type="dxa"/>
          </w:tcPr>
          <w:p w14:paraId="173D7B4B" w14:textId="04B4776A" w:rsidR="00D50E37" w:rsidRDefault="00D50E37" w:rsidP="00EE2A65">
            <w:pPr>
              <w:pStyle w:val="Caption"/>
              <w:rPr>
                <w:lang w:val="en-GB"/>
              </w:rPr>
            </w:pPr>
            <w:r>
              <w:rPr>
                <w:rFonts w:cs="Arial"/>
                <w:noProof/>
                <w:lang w:eastAsia="en-GB"/>
              </w:rPr>
              <w:drawing>
                <wp:inline distT="0" distB="0" distL="0" distR="0" wp14:anchorId="1A55BFC1" wp14:editId="6440C926">
                  <wp:extent cx="1563947" cy="11887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rotWithShape="1">
                          <a:blip r:embed="rId26" cstate="print">
                            <a:extLst>
                              <a:ext uri="{28A0092B-C50C-407E-A947-70E740481C1C}">
                                <a14:useLocalDpi xmlns:a14="http://schemas.microsoft.com/office/drawing/2010/main" val="0"/>
                              </a:ext>
                            </a:extLst>
                          </a:blip>
                          <a:srcRect l="6119" t="-10546" r="7728" b="2508"/>
                          <a:stretch/>
                        </pic:blipFill>
                        <pic:spPr bwMode="auto">
                          <a:xfrm>
                            <a:off x="0" y="0"/>
                            <a:ext cx="1613789" cy="1226604"/>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Pr>
          <w:p w14:paraId="2CAFA69E" w14:textId="2765C069" w:rsidR="00D50E37" w:rsidRDefault="00D50E37" w:rsidP="00EE2A65">
            <w:pPr>
              <w:pStyle w:val="Caption"/>
              <w:cnfStyle w:val="000000000000" w:firstRow="0" w:lastRow="0" w:firstColumn="0" w:lastColumn="0" w:oddVBand="0" w:evenVBand="0" w:oddHBand="0" w:evenHBand="0" w:firstRowFirstColumn="0" w:firstRowLastColumn="0" w:lastRowFirstColumn="0" w:lastRowLastColumn="0"/>
              <w:rPr>
                <w:lang w:val="en-GB"/>
              </w:rPr>
            </w:pPr>
            <w:r>
              <w:rPr>
                <w:rFonts w:cs="Arial"/>
                <w:noProof/>
                <w:lang w:eastAsia="en-GB"/>
              </w:rPr>
              <w:drawing>
                <wp:inline distT="0" distB="0" distL="0" distR="0" wp14:anchorId="0593370B" wp14:editId="7BB34BA1">
                  <wp:extent cx="2455778" cy="1166495"/>
                  <wp:effectExtent l="0" t="0" r="190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27" cstate="print">
                            <a:extLst>
                              <a:ext uri="{28A0092B-C50C-407E-A947-70E740481C1C}">
                                <a14:useLocalDpi xmlns:a14="http://schemas.microsoft.com/office/drawing/2010/main" val="0"/>
                              </a:ext>
                            </a:extLst>
                          </a:blip>
                          <a:srcRect l="7615" r="1825" b="14785"/>
                          <a:stretch/>
                        </pic:blipFill>
                        <pic:spPr bwMode="auto">
                          <a:xfrm>
                            <a:off x="0" y="0"/>
                            <a:ext cx="2473797" cy="1175054"/>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6997C1FB" w14:textId="19EB5DA1" w:rsidR="00D50E37" w:rsidRDefault="00D50E37" w:rsidP="00EE2A65">
            <w:pPr>
              <w:pStyle w:val="Caption"/>
              <w:cnfStyle w:val="000000000000" w:firstRow="0" w:lastRow="0" w:firstColumn="0" w:lastColumn="0" w:oddVBand="0" w:evenVBand="0" w:oddHBand="0" w:evenHBand="0" w:firstRowFirstColumn="0" w:firstRowLastColumn="0" w:lastRowFirstColumn="0" w:lastRowLastColumn="0"/>
              <w:rPr>
                <w:lang w:val="en-GB"/>
              </w:rPr>
            </w:pPr>
            <w:r>
              <w:rPr>
                <w:rFonts w:cs="Arial"/>
                <w:noProof/>
                <w:lang w:eastAsia="en-GB"/>
              </w:rPr>
              <w:drawing>
                <wp:inline distT="0" distB="0" distL="0" distR="0" wp14:anchorId="7573970B" wp14:editId="45FF0A73">
                  <wp:extent cx="1557218" cy="1543050"/>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rotWithShape="1">
                          <a:blip r:embed="rId28" cstate="print">
                            <a:extLst>
                              <a:ext uri="{28A0092B-C50C-407E-A947-70E740481C1C}">
                                <a14:useLocalDpi xmlns:a14="http://schemas.microsoft.com/office/drawing/2010/main" val="0"/>
                              </a:ext>
                            </a:extLst>
                          </a:blip>
                          <a:srcRect l="14174" t="-27108" r="6923" b="-58355"/>
                          <a:stretch/>
                        </pic:blipFill>
                        <pic:spPr bwMode="auto">
                          <a:xfrm>
                            <a:off x="0" y="0"/>
                            <a:ext cx="1597645" cy="1583109"/>
                          </a:xfrm>
                          <a:prstGeom prst="rect">
                            <a:avLst/>
                          </a:prstGeom>
                          <a:ln>
                            <a:noFill/>
                          </a:ln>
                          <a:extLst>
                            <a:ext uri="{53640926-AAD7-44D8-BBD7-CCE9431645EC}">
                              <a14:shadowObscured xmlns:a14="http://schemas.microsoft.com/office/drawing/2010/main"/>
                            </a:ext>
                          </a:extLst>
                        </pic:spPr>
                      </pic:pic>
                    </a:graphicData>
                  </a:graphic>
                </wp:inline>
              </w:drawing>
            </w:r>
          </w:p>
        </w:tc>
      </w:tr>
      <w:tr w:rsidR="00D50E37" w14:paraId="5D54DF64" w14:textId="77777777" w:rsidTr="00D50E37">
        <w:tc>
          <w:tcPr>
            <w:cnfStyle w:val="001000000000" w:firstRow="0" w:lastRow="0" w:firstColumn="1" w:lastColumn="0" w:oddVBand="0" w:evenVBand="0" w:oddHBand="0" w:evenHBand="0" w:firstRowFirstColumn="0" w:firstRowLastColumn="0" w:lastRowFirstColumn="0" w:lastRowLastColumn="0"/>
            <w:tcW w:w="3020" w:type="dxa"/>
          </w:tcPr>
          <w:p w14:paraId="6B4BB4DE" w14:textId="14D45FD1" w:rsidR="00D50E37" w:rsidRDefault="00D50E37" w:rsidP="00EE2A65">
            <w:pPr>
              <w:pStyle w:val="Caption"/>
              <w:rPr>
                <w:lang w:val="en-GB"/>
              </w:rPr>
            </w:pPr>
            <w:r>
              <w:rPr>
                <w:rFonts w:cs="Arial"/>
                <w:noProof/>
                <w:lang w:eastAsia="en-GB"/>
              </w:rPr>
              <w:drawing>
                <wp:inline distT="0" distB="0" distL="0" distR="0" wp14:anchorId="326C81E2" wp14:editId="33F67ACF">
                  <wp:extent cx="1615359" cy="1151140"/>
                  <wp:effectExtent l="0" t="0" r="444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29" cstate="print">
                            <a:extLst>
                              <a:ext uri="{28A0092B-C50C-407E-A947-70E740481C1C}">
                                <a14:useLocalDpi xmlns:a14="http://schemas.microsoft.com/office/drawing/2010/main" val="0"/>
                              </a:ext>
                            </a:extLst>
                          </a:blip>
                          <a:srcRect l="6784" t="-5041" r="8056" b="5311"/>
                          <a:stretch/>
                        </pic:blipFill>
                        <pic:spPr bwMode="auto">
                          <a:xfrm>
                            <a:off x="0" y="0"/>
                            <a:ext cx="1666500" cy="1187584"/>
                          </a:xfrm>
                          <a:prstGeom prst="rect">
                            <a:avLst/>
                          </a:prstGeom>
                          <a:ln>
                            <a:noFill/>
                          </a:ln>
                          <a:extLst>
                            <a:ext uri="{53640926-AAD7-44D8-BBD7-CCE9431645EC}">
                              <a14:shadowObscured xmlns:a14="http://schemas.microsoft.com/office/drawing/2010/main"/>
                            </a:ext>
                          </a:extLst>
                        </pic:spPr>
                      </pic:pic>
                    </a:graphicData>
                  </a:graphic>
                </wp:inline>
              </w:drawing>
            </w:r>
          </w:p>
        </w:tc>
        <w:tc>
          <w:tcPr>
            <w:tcW w:w="3020" w:type="dxa"/>
          </w:tcPr>
          <w:p w14:paraId="526689AE" w14:textId="6B6C527B" w:rsidR="00D50E37" w:rsidRDefault="00D50E37" w:rsidP="00EE2A65">
            <w:pPr>
              <w:pStyle w:val="Caption"/>
              <w:cnfStyle w:val="000000000000" w:firstRow="0" w:lastRow="0" w:firstColumn="0" w:lastColumn="0" w:oddVBand="0" w:evenVBand="0" w:oddHBand="0" w:evenHBand="0" w:firstRowFirstColumn="0" w:firstRowLastColumn="0" w:lastRowFirstColumn="0" w:lastRowLastColumn="0"/>
              <w:rPr>
                <w:lang w:val="en-GB"/>
              </w:rPr>
            </w:pPr>
            <w:r>
              <w:rPr>
                <w:rFonts w:cs="Arial"/>
                <w:noProof/>
                <w:lang w:eastAsia="en-GB"/>
              </w:rPr>
              <w:drawing>
                <wp:inline distT="0" distB="0" distL="0" distR="0" wp14:anchorId="35A523C2" wp14:editId="1B5992AF">
                  <wp:extent cx="2412414" cy="1157605"/>
                  <wp:effectExtent l="0" t="0" r="6985" b="444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rotWithShape="1">
                          <a:blip r:embed="rId30" cstate="print">
                            <a:extLst>
                              <a:ext uri="{28A0092B-C50C-407E-A947-70E740481C1C}">
                                <a14:useLocalDpi xmlns:a14="http://schemas.microsoft.com/office/drawing/2010/main" val="0"/>
                              </a:ext>
                            </a:extLst>
                          </a:blip>
                          <a:srcRect l="7938" r="1775" b="13759"/>
                          <a:stretch/>
                        </pic:blipFill>
                        <pic:spPr bwMode="auto">
                          <a:xfrm>
                            <a:off x="0" y="0"/>
                            <a:ext cx="2514941" cy="1206803"/>
                          </a:xfrm>
                          <a:prstGeom prst="rect">
                            <a:avLst/>
                          </a:prstGeom>
                          <a:ln>
                            <a:noFill/>
                          </a:ln>
                          <a:extLst>
                            <a:ext uri="{53640926-AAD7-44D8-BBD7-CCE9431645EC}">
                              <a14:shadowObscured xmlns:a14="http://schemas.microsoft.com/office/drawing/2010/main"/>
                            </a:ext>
                          </a:extLst>
                        </pic:spPr>
                      </pic:pic>
                    </a:graphicData>
                  </a:graphic>
                </wp:inline>
              </w:drawing>
            </w:r>
          </w:p>
        </w:tc>
        <w:tc>
          <w:tcPr>
            <w:tcW w:w="3021" w:type="dxa"/>
          </w:tcPr>
          <w:p w14:paraId="42BCBABE" w14:textId="3B27D2BE" w:rsidR="00D50E37" w:rsidRDefault="00D50E37" w:rsidP="00EE2A65">
            <w:pPr>
              <w:pStyle w:val="Caption"/>
              <w:cnfStyle w:val="000000000000" w:firstRow="0" w:lastRow="0" w:firstColumn="0" w:lastColumn="0" w:oddVBand="0" w:evenVBand="0" w:oddHBand="0" w:evenHBand="0" w:firstRowFirstColumn="0" w:firstRowLastColumn="0" w:lastRowFirstColumn="0" w:lastRowLastColumn="0"/>
              <w:rPr>
                <w:lang w:val="en-GB"/>
              </w:rPr>
            </w:pPr>
            <w:r>
              <w:rPr>
                <w:rFonts w:cs="Arial"/>
                <w:noProof/>
                <w:lang w:eastAsia="en-GB"/>
              </w:rPr>
              <w:drawing>
                <wp:inline distT="0" distB="0" distL="0" distR="0" wp14:anchorId="01CCA901" wp14:editId="180D017E">
                  <wp:extent cx="1520824" cy="1031875"/>
                  <wp:effectExtent l="0" t="0" r="381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rotWithShape="1">
                          <a:blip r:embed="rId31" cstate="print">
                            <a:extLst>
                              <a:ext uri="{28A0092B-C50C-407E-A947-70E740481C1C}">
                                <a14:useLocalDpi xmlns:a14="http://schemas.microsoft.com/office/drawing/2010/main" val="0"/>
                              </a:ext>
                            </a:extLst>
                          </a:blip>
                          <a:srcRect l="13562" t="-29880" r="7065" b="2229"/>
                          <a:stretch/>
                        </pic:blipFill>
                        <pic:spPr bwMode="auto">
                          <a:xfrm>
                            <a:off x="0" y="0"/>
                            <a:ext cx="1582629" cy="1073809"/>
                          </a:xfrm>
                          <a:prstGeom prst="rect">
                            <a:avLst/>
                          </a:prstGeom>
                          <a:ln>
                            <a:noFill/>
                          </a:ln>
                          <a:extLst>
                            <a:ext uri="{53640926-AAD7-44D8-BBD7-CCE9431645EC}">
                              <a14:shadowObscured xmlns:a14="http://schemas.microsoft.com/office/drawing/2010/main"/>
                            </a:ext>
                          </a:extLst>
                        </pic:spPr>
                      </pic:pic>
                    </a:graphicData>
                  </a:graphic>
                </wp:inline>
              </w:drawing>
            </w:r>
          </w:p>
        </w:tc>
      </w:tr>
    </w:tbl>
    <w:p w14:paraId="1BD1BE87" w14:textId="5C44CC27" w:rsidR="00EE2A65" w:rsidRPr="005A25DE" w:rsidRDefault="00EE2A65" w:rsidP="00EE2A65">
      <w:pPr>
        <w:pStyle w:val="Caption"/>
        <w:rPr>
          <w:lang w:val="en-GB"/>
        </w:rPr>
      </w:pPr>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5</w:t>
      </w:r>
      <w:r w:rsidRPr="00794360">
        <w:rPr>
          <w:noProof/>
          <w:lang w:val="en-GB"/>
        </w:rPr>
        <w:fldChar w:fldCharType="end"/>
      </w:r>
      <w:r w:rsidRPr="00794360">
        <w:rPr>
          <w:lang w:val="en-GB"/>
        </w:rPr>
        <w:t xml:space="preserve">: </w:t>
      </w:r>
      <w:r w:rsidRPr="00EE2A65">
        <w:rPr>
          <w:lang w:val="en-GB"/>
        </w:rPr>
        <w:t>Simulated Eutrophication Index (E.I) with Cyp-1, Cyp-2 and Cyp-3 sub-models, during spring 2016 (top), 2017 (middle) and 2018 (bottom), with the high impact scenario simulation (Sc2, see Table 1) with existing fish farms, Governor’s beach (5kt) and Larnaca (3kt) open sea farms. Existing (magenta dots) and new (black dots) OS farms locations are indicated</w:t>
      </w:r>
      <w:r w:rsidRPr="00794360">
        <w:rPr>
          <w:lang w:val="en-GB"/>
        </w:rPr>
        <w:t>.</w:t>
      </w:r>
      <w:bookmarkEnd w:id="19"/>
      <w:r w:rsidRPr="00794360">
        <w:rPr>
          <w:lang w:val="en-GB"/>
        </w:rPr>
        <w:t xml:space="preserve"> </w:t>
      </w:r>
    </w:p>
    <w:p w14:paraId="6BF98362" w14:textId="77777777" w:rsidR="00E7711F" w:rsidRDefault="00E7711F" w:rsidP="00E7711F">
      <w:pPr>
        <w:pStyle w:val="BodyText"/>
        <w:jc w:val="both"/>
        <w:rPr>
          <w:rFonts w:ascii="Arial" w:hAnsi="Arial" w:cs="Arial"/>
        </w:rPr>
      </w:pPr>
    </w:p>
    <w:p w14:paraId="5E32495A" w14:textId="77777777" w:rsidR="00E7711F" w:rsidRDefault="00E7711F" w:rsidP="00E7711F">
      <w:pPr>
        <w:pStyle w:val="BodyText"/>
        <w:jc w:val="both"/>
        <w:rPr>
          <w:rFonts w:ascii="Arial" w:hAnsi="Arial" w:cs="Arial"/>
        </w:rPr>
      </w:pPr>
      <w:r>
        <w:rPr>
          <w:rFonts w:ascii="Arial" w:hAnsi="Arial" w:cs="Arial"/>
          <w:b/>
          <w:noProof/>
          <w:lang w:eastAsia="en-GB"/>
        </w:rPr>
        <w:lastRenderedPageBreak/>
        <w:drawing>
          <wp:inline distT="0" distB="0" distL="0" distR="0" wp14:anchorId="52C87680" wp14:editId="6F76E9DC">
            <wp:extent cx="3177419" cy="4560944"/>
            <wp:effectExtent l="0" t="0" r="444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32">
                      <a:extLst>
                        <a:ext uri="{28A0092B-C50C-407E-A947-70E740481C1C}">
                          <a14:useLocalDpi xmlns:a14="http://schemas.microsoft.com/office/drawing/2010/main" val="0"/>
                        </a:ext>
                      </a:extLst>
                    </a:blip>
                    <a:srcRect l="4795" r="5579" b="1718"/>
                    <a:stretch/>
                  </pic:blipFill>
                  <pic:spPr bwMode="auto">
                    <a:xfrm>
                      <a:off x="0" y="0"/>
                      <a:ext cx="3213138" cy="4612216"/>
                    </a:xfrm>
                    <a:prstGeom prst="rect">
                      <a:avLst/>
                    </a:prstGeom>
                    <a:ln>
                      <a:noFill/>
                    </a:ln>
                    <a:extLst>
                      <a:ext uri="{53640926-AAD7-44D8-BBD7-CCE9431645EC}">
                        <a14:shadowObscured xmlns:a14="http://schemas.microsoft.com/office/drawing/2010/main"/>
                      </a:ext>
                    </a:extLst>
                  </pic:spPr>
                </pic:pic>
              </a:graphicData>
            </a:graphic>
          </wp:inline>
        </w:drawing>
      </w:r>
    </w:p>
    <w:p w14:paraId="3C19BB06" w14:textId="00CE0733" w:rsidR="00EE2A65" w:rsidRPr="005A25DE" w:rsidRDefault="00EE2A65" w:rsidP="00EE2A65">
      <w:pPr>
        <w:pStyle w:val="Caption"/>
        <w:rPr>
          <w:lang w:val="en-GB"/>
        </w:rPr>
      </w:pPr>
      <w:bookmarkStart w:id="20" w:name="_Toc144800890"/>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6</w:t>
      </w:r>
      <w:r w:rsidRPr="00794360">
        <w:rPr>
          <w:noProof/>
          <w:lang w:val="en-GB"/>
        </w:rPr>
        <w:fldChar w:fldCharType="end"/>
      </w:r>
      <w:r w:rsidRPr="00794360">
        <w:rPr>
          <w:lang w:val="en-GB"/>
        </w:rPr>
        <w:t xml:space="preserve">: </w:t>
      </w:r>
      <w:r w:rsidRPr="00EE2A65">
        <w:rPr>
          <w:lang w:val="en-GB"/>
        </w:rPr>
        <w:t xml:space="preserve">Simulated mean spring near surface current velocity and phosphates (PO4) fractional change (Sc2/Ref0-1) during 2016, 2017 and 2018. The scenario simulation (Sc2) includes the impact </w:t>
      </w:r>
      <w:r w:rsidR="00330B55">
        <w:rPr>
          <w:lang w:val="en-GB"/>
        </w:rPr>
        <w:t>of</w:t>
      </w:r>
      <w:r w:rsidR="00330B55" w:rsidRPr="00EE2A65">
        <w:rPr>
          <w:lang w:val="en-GB"/>
        </w:rPr>
        <w:t xml:space="preserve"> </w:t>
      </w:r>
      <w:r w:rsidRPr="00EE2A65">
        <w:rPr>
          <w:lang w:val="en-GB"/>
        </w:rPr>
        <w:t>existing coastal fish farms (see Fig.1) and also Xylofagou-West (5kt) and Larnaca (3kt) open sea aquaculture. The reference (Ref0) simulation has no fish farms. A fractional change=0.5 indicates an increase of +50%</w:t>
      </w:r>
      <w:r w:rsidRPr="00794360">
        <w:rPr>
          <w:lang w:val="en-GB"/>
        </w:rPr>
        <w:t>.</w:t>
      </w:r>
      <w:bookmarkEnd w:id="20"/>
      <w:r w:rsidRPr="00794360">
        <w:rPr>
          <w:lang w:val="en-GB"/>
        </w:rPr>
        <w:t xml:space="preserve"> </w:t>
      </w:r>
    </w:p>
    <w:p w14:paraId="20CB8E2B" w14:textId="77777777" w:rsidR="00EE2A65" w:rsidRPr="00EE2A65" w:rsidRDefault="00EE2A65" w:rsidP="00EE2A65">
      <w:pPr>
        <w:rPr>
          <w:lang w:val="en-GB"/>
        </w:rPr>
      </w:pPr>
    </w:p>
    <w:p w14:paraId="68A32AC4" w14:textId="0D16A944" w:rsidR="00E7711F" w:rsidRDefault="00E7711F" w:rsidP="00E7711F">
      <w:pPr>
        <w:pStyle w:val="BodyText"/>
        <w:jc w:val="both"/>
        <w:rPr>
          <w:rFonts w:ascii="Arial" w:hAnsi="Arial" w:cs="Arial"/>
        </w:rPr>
      </w:pPr>
      <w:r>
        <w:rPr>
          <w:rFonts w:ascii="Arial" w:hAnsi="Arial" w:cs="Arial"/>
        </w:rPr>
        <w:t xml:space="preserve">In Figure 6, the mean relative increase of phosphates, resulting from both existing and new open sea fish farms (Xylofagou and Larnaca) in Cyp-2 area is shown over different years (2016-2018) for </w:t>
      </w:r>
      <w:r w:rsidR="00330B55">
        <w:rPr>
          <w:rFonts w:ascii="Arial" w:hAnsi="Arial" w:cs="Arial"/>
        </w:rPr>
        <w:t xml:space="preserve">the </w:t>
      </w:r>
      <w:r>
        <w:rPr>
          <w:rFonts w:ascii="Arial" w:hAnsi="Arial" w:cs="Arial"/>
        </w:rPr>
        <w:t xml:space="preserve">spring period, when the effect from fish farms is relatively stronger due to higher aquaculture effluents (see D11). As compared to Cyp-1 area, </w:t>
      </w:r>
      <w:r w:rsidR="00330B55">
        <w:rPr>
          <w:rFonts w:ascii="Arial" w:hAnsi="Arial" w:cs="Arial"/>
        </w:rPr>
        <w:t>near-</w:t>
      </w:r>
      <w:r>
        <w:rPr>
          <w:rFonts w:ascii="Arial" w:hAnsi="Arial" w:cs="Arial"/>
        </w:rPr>
        <w:t>surface circulation presents a stronger inter-annual variability. Again, t</w:t>
      </w:r>
      <w:r w:rsidRPr="778BF37A">
        <w:rPr>
          <w:rFonts w:ascii="Arial" w:hAnsi="Arial" w:cs="Arial"/>
        </w:rPr>
        <w:t xml:space="preserve">he prevailing </w:t>
      </w:r>
      <w:r>
        <w:rPr>
          <w:rFonts w:ascii="Arial" w:hAnsi="Arial" w:cs="Arial"/>
        </w:rPr>
        <w:t xml:space="preserve">offshore </w:t>
      </w:r>
      <w:r w:rsidRPr="778BF37A">
        <w:rPr>
          <w:rFonts w:ascii="Arial" w:hAnsi="Arial" w:cs="Arial"/>
        </w:rPr>
        <w:t xml:space="preserve">circulation </w:t>
      </w:r>
      <w:r>
        <w:rPr>
          <w:rFonts w:ascii="Arial" w:hAnsi="Arial" w:cs="Arial"/>
        </w:rPr>
        <w:t xml:space="preserve">is affected by </w:t>
      </w:r>
      <w:r w:rsidRPr="778BF37A">
        <w:rPr>
          <w:rFonts w:ascii="Arial" w:hAnsi="Arial" w:cs="Arial"/>
        </w:rPr>
        <w:t xml:space="preserve">the </w:t>
      </w:r>
      <w:r>
        <w:rPr>
          <w:rFonts w:ascii="Arial" w:hAnsi="Arial" w:cs="Arial"/>
        </w:rPr>
        <w:t xml:space="preserve">large-scale </w:t>
      </w:r>
      <w:r w:rsidRPr="778BF37A">
        <w:rPr>
          <w:rFonts w:ascii="Arial" w:hAnsi="Arial" w:cs="Arial"/>
        </w:rPr>
        <w:t>anti</w:t>
      </w:r>
      <w:r w:rsidR="00330B55">
        <w:rPr>
          <w:rFonts w:ascii="Arial" w:hAnsi="Arial" w:cs="Arial"/>
        </w:rPr>
        <w:t>-</w:t>
      </w:r>
      <w:r w:rsidRPr="778BF37A">
        <w:rPr>
          <w:rFonts w:ascii="Arial" w:hAnsi="Arial" w:cs="Arial"/>
        </w:rPr>
        <w:t>cyclonic circulation</w:t>
      </w:r>
      <w:r>
        <w:rPr>
          <w:rFonts w:ascii="Arial" w:hAnsi="Arial" w:cs="Arial"/>
        </w:rPr>
        <w:t xml:space="preserve">, with a dominant north-eastern component. The circulation in Larnaca </w:t>
      </w:r>
      <w:r w:rsidR="00330B55">
        <w:rPr>
          <w:rFonts w:ascii="Arial" w:hAnsi="Arial" w:cs="Arial"/>
        </w:rPr>
        <w:t xml:space="preserve">Bay </w:t>
      </w:r>
      <w:r>
        <w:rPr>
          <w:rFonts w:ascii="Arial" w:hAnsi="Arial" w:cs="Arial"/>
        </w:rPr>
        <w:t>is anti-cyclonic during 2016 and cyclonic during 2017 and 2018. Thus, the effluents from the open sea farm at Xylofagou area follow an offshore eastward pathway during 2016 and a westward pathway during 2017-2018, while the circulation at Larnaca open sea farm is south-westward during 2017-2018 and north-eastward during 2016. As in Cyp-1 area (</w:t>
      </w:r>
      <w:proofErr w:type="spellStart"/>
      <w:r>
        <w:rPr>
          <w:rFonts w:ascii="Arial" w:hAnsi="Arial" w:cs="Arial"/>
        </w:rPr>
        <w:t>Goverrnor’s</w:t>
      </w:r>
      <w:proofErr w:type="spellEnd"/>
      <w:r>
        <w:rPr>
          <w:rFonts w:ascii="Arial" w:hAnsi="Arial" w:cs="Arial"/>
        </w:rPr>
        <w:t xml:space="preserve"> beach, Fig. 4-5), the eutrophication index (E</w:t>
      </w:r>
      <w:r w:rsidR="00330B55">
        <w:rPr>
          <w:rFonts w:ascii="Arial" w:hAnsi="Arial" w:cs="Arial"/>
        </w:rPr>
        <w:t>.</w:t>
      </w:r>
      <w:r>
        <w:rPr>
          <w:rFonts w:ascii="Arial" w:hAnsi="Arial" w:cs="Arial"/>
        </w:rPr>
        <w:t>I</w:t>
      </w:r>
      <w:r w:rsidR="00330B55">
        <w:rPr>
          <w:rFonts w:ascii="Arial" w:hAnsi="Arial" w:cs="Arial"/>
        </w:rPr>
        <w:t>.</w:t>
      </w:r>
      <w:r>
        <w:rPr>
          <w:rFonts w:ascii="Arial" w:hAnsi="Arial" w:cs="Arial"/>
        </w:rPr>
        <w:t xml:space="preserve">) is significantly decreased during 2018 due to the increased stratification (Fig. 7, see also Fig.3 and Fig.5). The Eutrophication Index in the eastern coastal area (Ayia Napa) appears relatively higher during 2016, due to the eastward prevailing circulation, but, overall, in open sea areas </w:t>
      </w:r>
      <w:r>
        <w:rPr>
          <w:rFonts w:ascii="Arial" w:hAnsi="Arial" w:cs="Arial"/>
        </w:rPr>
        <w:lastRenderedPageBreak/>
        <w:t>and in the vicinity of OS aqua farms is slightly higher during 2017 (Fig.5), which is characterized by relatively stronger late winter vertical mixing.</w:t>
      </w:r>
    </w:p>
    <w:p w14:paraId="56AC9E68" w14:textId="77777777" w:rsidR="00E7711F" w:rsidRDefault="00E7711F" w:rsidP="00E7711F">
      <w:pPr>
        <w:pStyle w:val="BodyText"/>
        <w:jc w:val="both"/>
        <w:rPr>
          <w:rFonts w:ascii="Arial" w:hAnsi="Arial" w:cs="Arial"/>
        </w:rPr>
      </w:pPr>
      <w:r>
        <w:rPr>
          <w:rFonts w:ascii="Arial" w:hAnsi="Arial" w:cs="Arial"/>
          <w:noProof/>
          <w:lang w:eastAsia="en-GB"/>
        </w:rPr>
        <w:drawing>
          <wp:inline distT="0" distB="0" distL="0" distR="0" wp14:anchorId="3FF68333" wp14:editId="6F14131E">
            <wp:extent cx="3433751" cy="4800243"/>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rotWithShape="1">
                    <a:blip r:embed="rId33">
                      <a:extLst>
                        <a:ext uri="{28A0092B-C50C-407E-A947-70E740481C1C}">
                          <a14:useLocalDpi xmlns:a14="http://schemas.microsoft.com/office/drawing/2010/main" val="0"/>
                        </a:ext>
                      </a:extLst>
                    </a:blip>
                    <a:srcRect l="8764" t="2988" r="10208" b="8044"/>
                    <a:stretch/>
                  </pic:blipFill>
                  <pic:spPr bwMode="auto">
                    <a:xfrm>
                      <a:off x="0" y="0"/>
                      <a:ext cx="3451939" cy="4825669"/>
                    </a:xfrm>
                    <a:prstGeom prst="rect">
                      <a:avLst/>
                    </a:prstGeom>
                    <a:ln>
                      <a:noFill/>
                    </a:ln>
                    <a:extLst>
                      <a:ext uri="{53640926-AAD7-44D8-BBD7-CCE9431645EC}">
                        <a14:shadowObscured xmlns:a14="http://schemas.microsoft.com/office/drawing/2010/main"/>
                      </a:ext>
                    </a:extLst>
                  </pic:spPr>
                </pic:pic>
              </a:graphicData>
            </a:graphic>
          </wp:inline>
        </w:drawing>
      </w:r>
    </w:p>
    <w:p w14:paraId="505AAF48" w14:textId="2E72B999" w:rsidR="00EE2A65" w:rsidRPr="005A25DE" w:rsidRDefault="00EE2A65" w:rsidP="00EE2A65">
      <w:pPr>
        <w:pStyle w:val="Caption"/>
        <w:rPr>
          <w:lang w:val="en-GB"/>
        </w:rPr>
      </w:pPr>
      <w:bookmarkStart w:id="21" w:name="_Toc144800891"/>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7</w:t>
      </w:r>
      <w:r w:rsidRPr="00794360">
        <w:rPr>
          <w:noProof/>
          <w:lang w:val="en-GB"/>
        </w:rPr>
        <w:fldChar w:fldCharType="end"/>
      </w:r>
      <w:r w:rsidRPr="00794360">
        <w:rPr>
          <w:lang w:val="en-GB"/>
        </w:rPr>
        <w:t xml:space="preserve">: </w:t>
      </w:r>
      <w:r w:rsidR="004D363E" w:rsidRPr="004D363E">
        <w:rPr>
          <w:lang w:val="en-GB"/>
        </w:rPr>
        <w:t xml:space="preserve">Simulated Eutrophication Index (E.I) with Cyp-2 sub-model, during spring 2016 (top), 2017 (middle) and 2018 (bottom), indicating environmental status (&lt;0.04 very good, 0.04 - 0.38 good, 0.38 - 0.85 moderate, 0.85 - 1.51 poor, &gt; 1.51 bad) in high impact scenario simulation (Sc2, see Table </w:t>
      </w:r>
      <w:r w:rsidR="005C6066">
        <w:rPr>
          <w:lang w:val="en-GB"/>
        </w:rPr>
        <w:t>2</w:t>
      </w:r>
      <w:r w:rsidR="004D363E" w:rsidRPr="004D363E">
        <w:rPr>
          <w:lang w:val="en-GB"/>
        </w:rPr>
        <w:t>) with existing fish farms, Xylofagou (5kt) and Larnaca (3kt) open sea farms. Existing (magenta dots) and new (black dots) OS farms locations are indicated</w:t>
      </w:r>
      <w:r w:rsidRPr="00794360">
        <w:rPr>
          <w:lang w:val="en-GB"/>
        </w:rPr>
        <w:t>.</w:t>
      </w:r>
      <w:bookmarkEnd w:id="21"/>
      <w:r w:rsidRPr="00794360">
        <w:rPr>
          <w:lang w:val="en-GB"/>
        </w:rPr>
        <w:t xml:space="preserve"> </w:t>
      </w:r>
    </w:p>
    <w:p w14:paraId="102083E8" w14:textId="77777777" w:rsidR="00E7711F" w:rsidRDefault="00E7711F" w:rsidP="00E7711F">
      <w:pPr>
        <w:pStyle w:val="BodyText"/>
        <w:jc w:val="both"/>
        <w:rPr>
          <w:rFonts w:ascii="Arial" w:hAnsi="Arial" w:cs="Arial"/>
        </w:rPr>
      </w:pPr>
    </w:p>
    <w:p w14:paraId="4A711A85" w14:textId="39685C36" w:rsidR="00E7711F" w:rsidRDefault="00E7711F" w:rsidP="00E7711F">
      <w:pPr>
        <w:pStyle w:val="BodyText"/>
        <w:jc w:val="both"/>
        <w:rPr>
          <w:rFonts w:ascii="Arial" w:hAnsi="Arial" w:cs="Arial"/>
        </w:rPr>
      </w:pPr>
      <w:r>
        <w:rPr>
          <w:rFonts w:ascii="Arial" w:hAnsi="Arial" w:cs="Arial"/>
        </w:rPr>
        <w:t>In Figure 8, the mean relative increase of phosphates, resulting from the new open sea fish farm at Aphrodite’s hills area in Cyp-3 area is shown over different years (2016-2018) for spring period, when the effect from fish farms is relatively stronger due to higher aquaculture effluents (see D11). The effluents from the open sea farm follow a north-westward pathway based on the large-scale cyclonic circulation in the area. As in Cyp-1/Cyp-2 areas, the Eutrophication Index is relatively lower during spring 2018 and relatively higher during 2017 (Fig.9).</w:t>
      </w:r>
    </w:p>
    <w:p w14:paraId="701345D7" w14:textId="77777777" w:rsidR="00E7711F" w:rsidRDefault="00E7711F" w:rsidP="00E7711F">
      <w:pPr>
        <w:pStyle w:val="BodyText"/>
        <w:jc w:val="both"/>
        <w:rPr>
          <w:rFonts w:ascii="Arial" w:hAnsi="Arial" w:cs="Arial"/>
        </w:rPr>
      </w:pPr>
    </w:p>
    <w:p w14:paraId="2E6B4E08" w14:textId="77777777" w:rsidR="00E7711F" w:rsidRDefault="00E7711F" w:rsidP="00E7711F">
      <w:pPr>
        <w:pStyle w:val="BodyText"/>
        <w:jc w:val="both"/>
        <w:rPr>
          <w:rFonts w:ascii="Arial" w:hAnsi="Arial" w:cs="Arial"/>
        </w:rPr>
      </w:pPr>
      <w:r>
        <w:rPr>
          <w:rFonts w:ascii="Arial" w:hAnsi="Arial" w:cs="Arial"/>
          <w:noProof/>
          <w:lang w:eastAsia="en-GB"/>
        </w:rPr>
        <w:lastRenderedPageBreak/>
        <w:drawing>
          <wp:inline distT="0" distB="0" distL="0" distR="0" wp14:anchorId="702E4CB3" wp14:editId="3B4150F6">
            <wp:extent cx="3733800" cy="6934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4">
                      <a:extLst>
                        <a:ext uri="{28A0092B-C50C-407E-A947-70E740481C1C}">
                          <a14:useLocalDpi xmlns:a14="http://schemas.microsoft.com/office/drawing/2010/main" val="0"/>
                        </a:ext>
                      </a:extLst>
                    </a:blip>
                    <a:srcRect l="5911" t="1691" r="1403" b="10372"/>
                    <a:stretch/>
                  </pic:blipFill>
                  <pic:spPr bwMode="auto">
                    <a:xfrm>
                      <a:off x="0" y="0"/>
                      <a:ext cx="3733934" cy="6934450"/>
                    </a:xfrm>
                    <a:prstGeom prst="rect">
                      <a:avLst/>
                    </a:prstGeom>
                    <a:ln>
                      <a:noFill/>
                    </a:ln>
                    <a:extLst>
                      <a:ext uri="{53640926-AAD7-44D8-BBD7-CCE9431645EC}">
                        <a14:shadowObscured xmlns:a14="http://schemas.microsoft.com/office/drawing/2010/main"/>
                      </a:ext>
                    </a:extLst>
                  </pic:spPr>
                </pic:pic>
              </a:graphicData>
            </a:graphic>
          </wp:inline>
        </w:drawing>
      </w:r>
    </w:p>
    <w:p w14:paraId="03DA96F3" w14:textId="5C351382" w:rsidR="004D363E" w:rsidRPr="005A25DE" w:rsidRDefault="004D363E" w:rsidP="004D363E">
      <w:pPr>
        <w:pStyle w:val="Caption"/>
        <w:rPr>
          <w:lang w:val="en-GB"/>
        </w:rPr>
      </w:pPr>
      <w:bookmarkStart w:id="22" w:name="_Toc144800892"/>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8</w:t>
      </w:r>
      <w:r w:rsidRPr="00794360">
        <w:rPr>
          <w:noProof/>
          <w:lang w:val="en-GB"/>
        </w:rPr>
        <w:fldChar w:fldCharType="end"/>
      </w:r>
      <w:r w:rsidRPr="00794360">
        <w:rPr>
          <w:lang w:val="en-GB"/>
        </w:rPr>
        <w:t xml:space="preserve">: </w:t>
      </w:r>
      <w:r w:rsidRPr="004D363E">
        <w:rPr>
          <w:lang w:val="en-GB"/>
        </w:rPr>
        <w:t>Simulated seasonal mean near surface current velocity and phosphates (PO4) fractional change (Sc2/Ref-1) during 2016. The scenario simulation (Sc2) includes the impact from new open sea aquaculture (5kt) at Aphrodite’s hills site. In the reference (Ref) simulation there are no fish farms. A fractional change=0.5 indicates an increase of +50%</w:t>
      </w:r>
      <w:r w:rsidRPr="00794360">
        <w:rPr>
          <w:lang w:val="en-GB"/>
        </w:rPr>
        <w:t>.</w:t>
      </w:r>
      <w:bookmarkEnd w:id="22"/>
      <w:r w:rsidRPr="00794360">
        <w:rPr>
          <w:lang w:val="en-GB"/>
        </w:rPr>
        <w:t xml:space="preserve"> </w:t>
      </w:r>
    </w:p>
    <w:p w14:paraId="41520D72" w14:textId="77777777" w:rsidR="004D363E" w:rsidRPr="004D363E" w:rsidRDefault="004D363E" w:rsidP="004D363E">
      <w:pPr>
        <w:rPr>
          <w:lang w:val="en-GB"/>
        </w:rPr>
      </w:pPr>
    </w:p>
    <w:p w14:paraId="5D7B3DC1" w14:textId="77777777" w:rsidR="00E7711F" w:rsidRDefault="00E7711F" w:rsidP="00E7711F">
      <w:pPr>
        <w:pStyle w:val="BodyText"/>
        <w:jc w:val="both"/>
        <w:rPr>
          <w:rFonts w:ascii="Arial" w:hAnsi="Arial" w:cs="Arial"/>
        </w:rPr>
      </w:pPr>
      <w:r>
        <w:rPr>
          <w:rFonts w:ascii="Arial" w:hAnsi="Arial" w:cs="Arial"/>
          <w:noProof/>
          <w:lang w:eastAsia="en-GB"/>
        </w:rPr>
        <w:lastRenderedPageBreak/>
        <w:drawing>
          <wp:inline distT="0" distB="0" distL="0" distR="0" wp14:anchorId="53CBB06D" wp14:editId="483C353E">
            <wp:extent cx="2984575" cy="532447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35">
                      <a:extLst>
                        <a:ext uri="{28A0092B-C50C-407E-A947-70E740481C1C}">
                          <a14:useLocalDpi xmlns:a14="http://schemas.microsoft.com/office/drawing/2010/main" val="0"/>
                        </a:ext>
                      </a:extLst>
                    </a:blip>
                    <a:srcRect l="3362" t="3798" r="6288" b="7912"/>
                    <a:stretch/>
                  </pic:blipFill>
                  <pic:spPr bwMode="auto">
                    <a:xfrm>
                      <a:off x="0" y="0"/>
                      <a:ext cx="2998296" cy="5348954"/>
                    </a:xfrm>
                    <a:prstGeom prst="rect">
                      <a:avLst/>
                    </a:prstGeom>
                    <a:ln>
                      <a:noFill/>
                    </a:ln>
                    <a:extLst>
                      <a:ext uri="{53640926-AAD7-44D8-BBD7-CCE9431645EC}">
                        <a14:shadowObscured xmlns:a14="http://schemas.microsoft.com/office/drawing/2010/main"/>
                      </a:ext>
                    </a:extLst>
                  </pic:spPr>
                </pic:pic>
              </a:graphicData>
            </a:graphic>
          </wp:inline>
        </w:drawing>
      </w:r>
    </w:p>
    <w:p w14:paraId="0DEBE9D7" w14:textId="75CD89BE" w:rsidR="002E5C35" w:rsidRPr="005A25DE" w:rsidRDefault="002E5C35" w:rsidP="002E5C35">
      <w:pPr>
        <w:pStyle w:val="Caption"/>
        <w:rPr>
          <w:lang w:val="en-GB"/>
        </w:rPr>
      </w:pPr>
      <w:bookmarkStart w:id="23" w:name="_Toc144800893"/>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9</w:t>
      </w:r>
      <w:r w:rsidRPr="00794360">
        <w:rPr>
          <w:noProof/>
          <w:lang w:val="en-GB"/>
        </w:rPr>
        <w:fldChar w:fldCharType="end"/>
      </w:r>
      <w:r w:rsidRPr="00794360">
        <w:rPr>
          <w:lang w:val="en-GB"/>
        </w:rPr>
        <w:t xml:space="preserve">: </w:t>
      </w:r>
      <w:r w:rsidRPr="002E5C35">
        <w:rPr>
          <w:lang w:val="en-GB"/>
        </w:rPr>
        <w:t xml:space="preserve">Simulated Eutrophication Index (E.I) with Cyp-3 sub-model, during spring 2016 (top), 2017 (middle) and 2018 (bottom), indicating environmental status (&lt;0.04 very good, 0.04 - 0.38 good, 0.38 - 0.85 moderate, 0.85 - 1.51 poor, &gt; 1.51 bad) in high impact scenario simulation (Sc2, see Table </w:t>
      </w:r>
      <w:r w:rsidR="005C6066">
        <w:rPr>
          <w:lang w:val="en-GB"/>
        </w:rPr>
        <w:t>2</w:t>
      </w:r>
      <w:r w:rsidRPr="002E5C35">
        <w:rPr>
          <w:lang w:val="en-GB"/>
        </w:rPr>
        <w:t xml:space="preserve">) with </w:t>
      </w:r>
      <w:proofErr w:type="spellStart"/>
      <w:r w:rsidRPr="002E5C35">
        <w:rPr>
          <w:lang w:val="en-GB"/>
        </w:rPr>
        <w:t>Aphrodites</w:t>
      </w:r>
      <w:proofErr w:type="spellEnd"/>
      <w:r w:rsidRPr="002E5C35">
        <w:rPr>
          <w:lang w:val="en-GB"/>
        </w:rPr>
        <w:t xml:space="preserve"> (5kt) open sea farms. OS farms (black dots) locations are indicated</w:t>
      </w:r>
      <w:r w:rsidRPr="00794360">
        <w:rPr>
          <w:lang w:val="en-GB"/>
        </w:rPr>
        <w:t>.</w:t>
      </w:r>
      <w:bookmarkEnd w:id="23"/>
      <w:r w:rsidRPr="00794360">
        <w:rPr>
          <w:lang w:val="en-GB"/>
        </w:rPr>
        <w:t xml:space="preserve"> </w:t>
      </w:r>
    </w:p>
    <w:p w14:paraId="652D1783" w14:textId="77777777" w:rsidR="002E5C35" w:rsidRPr="002E5C35" w:rsidRDefault="002E5C35" w:rsidP="002E5C35">
      <w:pPr>
        <w:rPr>
          <w:lang w:val="en-GB"/>
        </w:rPr>
      </w:pPr>
    </w:p>
    <w:p w14:paraId="11F791D9" w14:textId="73A65A88" w:rsidR="00E7711F" w:rsidRDefault="00E7711F" w:rsidP="00E7711F">
      <w:pPr>
        <w:pStyle w:val="BodyText"/>
        <w:jc w:val="both"/>
        <w:rPr>
          <w:rFonts w:ascii="Arial" w:hAnsi="Arial" w:cs="Arial"/>
        </w:rPr>
      </w:pPr>
      <w:r>
        <w:rPr>
          <w:rFonts w:ascii="Arial" w:hAnsi="Arial" w:cs="Arial"/>
        </w:rPr>
        <w:t>In all areas, t</w:t>
      </w:r>
      <w:r w:rsidRPr="00A0008D">
        <w:rPr>
          <w:rFonts w:ascii="Arial" w:hAnsi="Arial" w:cs="Arial"/>
        </w:rPr>
        <w:t xml:space="preserve">he </w:t>
      </w:r>
      <w:r>
        <w:rPr>
          <w:rFonts w:ascii="Arial" w:hAnsi="Arial" w:cs="Arial"/>
        </w:rPr>
        <w:t>eutrophication index (E.I.)</w:t>
      </w:r>
      <w:r w:rsidRPr="00A0008D">
        <w:rPr>
          <w:rFonts w:ascii="Arial" w:hAnsi="Arial" w:cs="Arial"/>
        </w:rPr>
        <w:t xml:space="preserve"> </w:t>
      </w:r>
      <w:r>
        <w:rPr>
          <w:rFonts w:ascii="Arial" w:hAnsi="Arial" w:cs="Arial"/>
        </w:rPr>
        <w:t xml:space="preserve">during spring period, when the stronger environmental impact is simulated due to higher aquaculture effluents, </w:t>
      </w:r>
      <w:r w:rsidRPr="00A0008D">
        <w:rPr>
          <w:rFonts w:ascii="Arial" w:hAnsi="Arial" w:cs="Arial"/>
        </w:rPr>
        <w:t>indicates good to moderate environmental conditions even in the vicinity of the fish farms, suggesting that aquaculture wastes are effectively dispersed by ocean currents</w:t>
      </w:r>
      <w:r>
        <w:rPr>
          <w:rFonts w:ascii="Arial" w:hAnsi="Arial" w:cs="Arial"/>
        </w:rPr>
        <w:t xml:space="preserve"> (Fig.4, 7, 9)</w:t>
      </w:r>
      <w:r w:rsidRPr="00A0008D">
        <w:rPr>
          <w:rFonts w:ascii="Arial" w:hAnsi="Arial" w:cs="Arial"/>
        </w:rPr>
        <w:t xml:space="preserve">. </w:t>
      </w:r>
      <w:r>
        <w:rPr>
          <w:rFonts w:ascii="Arial" w:hAnsi="Arial" w:cs="Arial"/>
        </w:rPr>
        <w:t xml:space="preserve">During summer, the E.I. indicates “good” conditions in the entire area (not shown), as the increased stratification results in </w:t>
      </w:r>
      <w:r w:rsidR="00330B55">
        <w:rPr>
          <w:rFonts w:ascii="Arial" w:hAnsi="Arial" w:cs="Arial"/>
        </w:rPr>
        <w:t>decreased</w:t>
      </w:r>
      <w:r>
        <w:rPr>
          <w:rFonts w:ascii="Arial" w:hAnsi="Arial" w:cs="Arial"/>
        </w:rPr>
        <w:t xml:space="preserve"> dissolved inorganic nutrients and plankton productivity. </w:t>
      </w:r>
    </w:p>
    <w:p w14:paraId="61A2FCFC" w14:textId="47A648B8" w:rsidR="00E7711F" w:rsidRDefault="00E7711F" w:rsidP="00E7711F">
      <w:pPr>
        <w:pStyle w:val="BodyText"/>
        <w:jc w:val="both"/>
        <w:rPr>
          <w:rFonts w:ascii="Arial" w:hAnsi="Arial" w:cs="Arial"/>
        </w:rPr>
      </w:pPr>
      <w:r w:rsidRPr="00A0008D">
        <w:rPr>
          <w:rFonts w:ascii="Arial" w:hAnsi="Arial" w:cs="Arial"/>
        </w:rPr>
        <w:t>In Figure</w:t>
      </w:r>
      <w:r>
        <w:rPr>
          <w:rFonts w:ascii="Arial" w:hAnsi="Arial" w:cs="Arial"/>
        </w:rPr>
        <w:t>s</w:t>
      </w:r>
      <w:r w:rsidRPr="00A0008D">
        <w:rPr>
          <w:rFonts w:ascii="Arial" w:hAnsi="Arial" w:cs="Arial"/>
        </w:rPr>
        <w:t xml:space="preserve"> </w:t>
      </w:r>
      <w:r>
        <w:rPr>
          <w:rFonts w:ascii="Arial" w:hAnsi="Arial" w:cs="Arial"/>
        </w:rPr>
        <w:t>10-11</w:t>
      </w:r>
      <w:r w:rsidRPr="00A0008D">
        <w:rPr>
          <w:rFonts w:ascii="Arial" w:hAnsi="Arial" w:cs="Arial"/>
        </w:rPr>
        <w:t>, the mean current speed</w:t>
      </w:r>
      <w:r>
        <w:rPr>
          <w:rFonts w:ascii="Arial" w:hAnsi="Arial" w:cs="Arial"/>
        </w:rPr>
        <w:t xml:space="preserve">/direction, SST, </w:t>
      </w:r>
      <w:proofErr w:type="spellStart"/>
      <w:r>
        <w:rPr>
          <w:rFonts w:ascii="Arial" w:hAnsi="Arial" w:cs="Arial"/>
        </w:rPr>
        <w:t>Chl</w:t>
      </w:r>
      <w:proofErr w:type="spellEnd"/>
      <w:r>
        <w:rPr>
          <w:rFonts w:ascii="Arial" w:hAnsi="Arial" w:cs="Arial"/>
        </w:rPr>
        <w:t>-</w:t>
      </w:r>
      <w:proofErr w:type="gramStart"/>
      <w:r>
        <w:rPr>
          <w:rFonts w:ascii="Arial" w:hAnsi="Arial" w:cs="Arial"/>
        </w:rPr>
        <w:t>a</w:t>
      </w:r>
      <w:proofErr w:type="gramEnd"/>
      <w:r w:rsidRPr="00A0008D">
        <w:rPr>
          <w:rFonts w:ascii="Arial" w:hAnsi="Arial" w:cs="Arial"/>
        </w:rPr>
        <w:t xml:space="preserve"> and E.I. value in the vicinity of different aquaculture areas is shown for different scenarios</w:t>
      </w:r>
      <w:r>
        <w:rPr>
          <w:rFonts w:ascii="Arial" w:hAnsi="Arial" w:cs="Arial"/>
        </w:rPr>
        <w:t xml:space="preserve"> during spring and summer</w:t>
      </w:r>
      <w:r w:rsidR="00330B55">
        <w:rPr>
          <w:rFonts w:ascii="Arial" w:hAnsi="Arial" w:cs="Arial"/>
        </w:rPr>
        <w:t>,</w:t>
      </w:r>
      <w:r>
        <w:rPr>
          <w:rFonts w:ascii="Arial" w:hAnsi="Arial" w:cs="Arial"/>
        </w:rPr>
        <w:t xml:space="preserve"> respectively</w:t>
      </w:r>
      <w:r w:rsidR="00330B55">
        <w:rPr>
          <w:rFonts w:ascii="Arial" w:hAnsi="Arial" w:cs="Arial"/>
        </w:rPr>
        <w:t>,</w:t>
      </w:r>
      <w:r>
        <w:rPr>
          <w:rFonts w:ascii="Arial" w:hAnsi="Arial" w:cs="Arial"/>
        </w:rPr>
        <w:t xml:space="preserve"> for years 2016-2018</w:t>
      </w:r>
      <w:r w:rsidRPr="00A0008D">
        <w:rPr>
          <w:rFonts w:ascii="Arial" w:hAnsi="Arial" w:cs="Arial"/>
        </w:rPr>
        <w:t xml:space="preserve">. The </w:t>
      </w:r>
      <w:r>
        <w:rPr>
          <w:rFonts w:ascii="Arial" w:hAnsi="Arial" w:cs="Arial"/>
        </w:rPr>
        <w:t xml:space="preserve">E.I. value </w:t>
      </w:r>
      <w:r w:rsidRPr="00A0008D">
        <w:rPr>
          <w:rFonts w:ascii="Arial" w:hAnsi="Arial" w:cs="Arial"/>
        </w:rPr>
        <w:t xml:space="preserve">at Xylofagou and </w:t>
      </w:r>
      <w:r>
        <w:rPr>
          <w:rFonts w:ascii="Arial" w:hAnsi="Arial" w:cs="Arial"/>
        </w:rPr>
        <w:t>Larnaca</w:t>
      </w:r>
      <w:r w:rsidRPr="00A0008D">
        <w:rPr>
          <w:rFonts w:ascii="Arial" w:hAnsi="Arial" w:cs="Arial"/>
        </w:rPr>
        <w:t xml:space="preserve"> sites appears slightly </w:t>
      </w:r>
      <w:r>
        <w:rPr>
          <w:rFonts w:ascii="Arial" w:hAnsi="Arial" w:cs="Arial"/>
        </w:rPr>
        <w:t>higher, on average,</w:t>
      </w:r>
      <w:r w:rsidRPr="00A0008D">
        <w:rPr>
          <w:rFonts w:ascii="Arial" w:hAnsi="Arial" w:cs="Arial"/>
        </w:rPr>
        <w:t xml:space="preserve"> as compared to both Aphrodite’s </w:t>
      </w:r>
      <w:r w:rsidR="00330B55">
        <w:rPr>
          <w:rFonts w:ascii="Arial" w:hAnsi="Arial" w:cs="Arial"/>
        </w:rPr>
        <w:t>H</w:t>
      </w:r>
      <w:r w:rsidRPr="00A0008D">
        <w:rPr>
          <w:rFonts w:ascii="Arial" w:hAnsi="Arial" w:cs="Arial"/>
        </w:rPr>
        <w:t xml:space="preserve">ills and Governor’s </w:t>
      </w:r>
      <w:r w:rsidR="00330B55">
        <w:rPr>
          <w:rFonts w:ascii="Arial" w:hAnsi="Arial" w:cs="Arial"/>
        </w:rPr>
        <w:t>B</w:t>
      </w:r>
      <w:r w:rsidRPr="00A0008D">
        <w:rPr>
          <w:rFonts w:ascii="Arial" w:hAnsi="Arial" w:cs="Arial"/>
        </w:rPr>
        <w:t>each areas</w:t>
      </w:r>
      <w:r>
        <w:rPr>
          <w:rFonts w:ascii="Arial" w:hAnsi="Arial" w:cs="Arial"/>
        </w:rPr>
        <w:t>, which</w:t>
      </w:r>
      <w:r w:rsidRPr="00A0008D">
        <w:rPr>
          <w:rFonts w:ascii="Arial" w:hAnsi="Arial" w:cs="Arial"/>
        </w:rPr>
        <w:t xml:space="preserve"> may be probably attributed to </w:t>
      </w:r>
      <w:r>
        <w:rPr>
          <w:rFonts w:ascii="Arial" w:hAnsi="Arial" w:cs="Arial"/>
        </w:rPr>
        <w:t xml:space="preserve">the circulation </w:t>
      </w:r>
      <w:r w:rsidRPr="00A0008D">
        <w:rPr>
          <w:rFonts w:ascii="Arial" w:hAnsi="Arial" w:cs="Arial"/>
        </w:rPr>
        <w:t>pattern</w:t>
      </w:r>
      <w:r>
        <w:rPr>
          <w:rFonts w:ascii="Arial" w:hAnsi="Arial" w:cs="Arial"/>
        </w:rPr>
        <w:t>s</w:t>
      </w:r>
      <w:r w:rsidRPr="00A0008D">
        <w:rPr>
          <w:rFonts w:ascii="Arial" w:hAnsi="Arial" w:cs="Arial"/>
        </w:rPr>
        <w:t xml:space="preserve"> </w:t>
      </w:r>
      <w:r w:rsidRPr="00A0008D">
        <w:rPr>
          <w:rFonts w:ascii="Arial" w:hAnsi="Arial" w:cs="Arial"/>
        </w:rPr>
        <w:lastRenderedPageBreak/>
        <w:t xml:space="preserve">in </w:t>
      </w:r>
      <w:r>
        <w:rPr>
          <w:rFonts w:ascii="Arial" w:hAnsi="Arial" w:cs="Arial"/>
        </w:rPr>
        <w:t>the more enclosed Larnaca</w:t>
      </w:r>
      <w:r w:rsidRPr="00A0008D">
        <w:rPr>
          <w:rFonts w:ascii="Arial" w:hAnsi="Arial" w:cs="Arial"/>
        </w:rPr>
        <w:t xml:space="preserve"> </w:t>
      </w:r>
      <w:r w:rsidR="00330B55">
        <w:rPr>
          <w:rFonts w:ascii="Arial" w:hAnsi="Arial" w:cs="Arial"/>
        </w:rPr>
        <w:t>B</w:t>
      </w:r>
      <w:r w:rsidR="00330B55" w:rsidRPr="00A0008D">
        <w:rPr>
          <w:rFonts w:ascii="Arial" w:hAnsi="Arial" w:cs="Arial"/>
        </w:rPr>
        <w:t>ay</w:t>
      </w:r>
      <w:r w:rsidRPr="00A0008D">
        <w:rPr>
          <w:rFonts w:ascii="Arial" w:hAnsi="Arial" w:cs="Arial"/>
        </w:rPr>
        <w:t xml:space="preserve">. </w:t>
      </w:r>
      <w:r>
        <w:rPr>
          <w:rFonts w:ascii="Arial" w:hAnsi="Arial" w:cs="Arial"/>
        </w:rPr>
        <w:t xml:space="preserve">In almost all areas, E.I. appears to be relatively lower during 2018 and slightly higher during 2017, with 2016 found in between (Fig.10-11, see also Fig.5). This may be attributed to the inter-annual variability of the open sea plankton productivity, controlled by vertical mixing, as 2018 is characterized by stronger stratification (Fig.3), while late winter increased mixing during spring 2017 results in slightly higher phytoplankton (not shown). The only exception from the above E.I. inter-annual variability (min in 2018, max in 2017) may be seen in Governor’s beach area (Fig.5 and Fig.10), where the E.I. during 2018 is slightly higher as compared to 2016, which is due to the relatively weaker currents during 2018 and their westward direction (Fig.2 and Fig.10). But generally, the variability of the eutrophication index in different sites does not appear to be strongly related with the current speed/direction. During summer, the eutrophication index is decreased in all areas, following the decrease of phytoplankton due to nutrient depletion (Fig.11), </w:t>
      </w:r>
      <w:r w:rsidR="00330B55">
        <w:rPr>
          <w:rFonts w:ascii="Arial" w:hAnsi="Arial" w:cs="Arial"/>
        </w:rPr>
        <w:t>also showing</w:t>
      </w:r>
      <w:r>
        <w:rPr>
          <w:rFonts w:ascii="Arial" w:hAnsi="Arial" w:cs="Arial"/>
        </w:rPr>
        <w:t xml:space="preserve"> a weaker variability among different years. </w:t>
      </w:r>
    </w:p>
    <w:p w14:paraId="44D03081" w14:textId="7621010B" w:rsidR="00E7711F" w:rsidRDefault="00E7711F" w:rsidP="00E7711F">
      <w:pPr>
        <w:pStyle w:val="BodyText"/>
        <w:jc w:val="both"/>
        <w:rPr>
          <w:rFonts w:ascii="Arial" w:hAnsi="Arial" w:cs="Arial"/>
        </w:rPr>
      </w:pPr>
      <w:r>
        <w:rPr>
          <w:rFonts w:ascii="Arial" w:hAnsi="Arial" w:cs="Arial"/>
        </w:rPr>
        <w:t xml:space="preserve">The inter-annual variability of the eutrophication index, which may be used to quantify the uncertainty related </w:t>
      </w:r>
      <w:r w:rsidR="00330B55">
        <w:rPr>
          <w:rFonts w:ascii="Arial" w:hAnsi="Arial" w:cs="Arial"/>
        </w:rPr>
        <w:t xml:space="preserve">to </w:t>
      </w:r>
      <w:r>
        <w:rPr>
          <w:rFonts w:ascii="Arial" w:hAnsi="Arial" w:cs="Arial"/>
        </w:rPr>
        <w:t>the ocean circulation variability may be seen in Figure 12. As mentioned above, relatively weaker variability may be seen for summer, while the variability during spring varies between ~9% in the coastal existing farms (</w:t>
      </w:r>
      <w:proofErr w:type="spellStart"/>
      <w:r>
        <w:rPr>
          <w:rFonts w:ascii="Arial" w:hAnsi="Arial" w:cs="Arial"/>
        </w:rPr>
        <w:t>Akrotiri</w:t>
      </w:r>
      <w:proofErr w:type="spellEnd"/>
      <w:r>
        <w:rPr>
          <w:rFonts w:ascii="Arial" w:hAnsi="Arial" w:cs="Arial"/>
        </w:rPr>
        <w:t xml:space="preserve"> bay) to ~28% in </w:t>
      </w:r>
      <w:r w:rsidRPr="00A0008D">
        <w:rPr>
          <w:rFonts w:ascii="Arial" w:hAnsi="Arial" w:cs="Arial"/>
        </w:rPr>
        <w:t>Aphrodite’s hills</w:t>
      </w:r>
      <w:r>
        <w:rPr>
          <w:rFonts w:ascii="Arial" w:hAnsi="Arial" w:cs="Arial"/>
        </w:rPr>
        <w:t xml:space="preserve"> area, which is more exposed to open sea ocean conditions variability. Overall, we may see that all areas are significantly affected by open sea</w:t>
      </w:r>
      <w:r w:rsidRPr="00723CAE">
        <w:rPr>
          <w:rFonts w:ascii="Arial" w:hAnsi="Arial" w:cs="Arial"/>
        </w:rPr>
        <w:t xml:space="preserve"> </w:t>
      </w:r>
      <w:r>
        <w:rPr>
          <w:rFonts w:ascii="Arial" w:hAnsi="Arial" w:cs="Arial"/>
        </w:rPr>
        <w:t xml:space="preserve">conditions, which are largely controlled by vertical mixing and </w:t>
      </w:r>
      <w:r w:rsidR="00330B55">
        <w:rPr>
          <w:rFonts w:ascii="Arial" w:hAnsi="Arial" w:cs="Arial"/>
        </w:rPr>
        <w:t>larger-</w:t>
      </w:r>
      <w:r>
        <w:rPr>
          <w:rFonts w:ascii="Arial" w:hAnsi="Arial" w:cs="Arial"/>
        </w:rPr>
        <w:t xml:space="preserve">scale circulation variability. The E.I. mean (2016-2018) value in the vicinity of open sea farms appears slightly higher </w:t>
      </w:r>
      <w:proofErr w:type="gramStart"/>
      <w:r>
        <w:rPr>
          <w:rFonts w:ascii="Arial" w:hAnsi="Arial" w:cs="Arial"/>
        </w:rPr>
        <w:t xml:space="preserve">in  </w:t>
      </w:r>
      <w:proofErr w:type="spellStart"/>
      <w:r>
        <w:rPr>
          <w:rFonts w:ascii="Arial" w:hAnsi="Arial" w:cs="Arial"/>
        </w:rPr>
        <w:t>Xylofagou</w:t>
      </w:r>
      <w:proofErr w:type="spellEnd"/>
      <w:proofErr w:type="gramEnd"/>
      <w:r>
        <w:rPr>
          <w:rFonts w:ascii="Arial" w:hAnsi="Arial" w:cs="Arial"/>
        </w:rPr>
        <w:t xml:space="preserve">, followed by </w:t>
      </w:r>
      <w:proofErr w:type="spellStart"/>
      <w:r>
        <w:rPr>
          <w:rFonts w:ascii="Arial" w:hAnsi="Arial" w:cs="Arial"/>
        </w:rPr>
        <w:t>Larnaka</w:t>
      </w:r>
      <w:proofErr w:type="spellEnd"/>
      <w:r>
        <w:rPr>
          <w:rFonts w:ascii="Arial" w:hAnsi="Arial" w:cs="Arial"/>
        </w:rPr>
        <w:t xml:space="preserve">, Governor’s </w:t>
      </w:r>
      <w:r w:rsidR="00330B55">
        <w:rPr>
          <w:rFonts w:ascii="Arial" w:hAnsi="Arial" w:cs="Arial"/>
        </w:rPr>
        <w:t xml:space="preserve">Beach </w:t>
      </w:r>
      <w:r>
        <w:rPr>
          <w:rFonts w:ascii="Arial" w:hAnsi="Arial" w:cs="Arial"/>
        </w:rPr>
        <w:t xml:space="preserve">and </w:t>
      </w:r>
      <w:proofErr w:type="spellStart"/>
      <w:r>
        <w:rPr>
          <w:rFonts w:ascii="Arial" w:hAnsi="Arial" w:cs="Arial"/>
        </w:rPr>
        <w:t>Aphrodites</w:t>
      </w:r>
      <w:proofErr w:type="spellEnd"/>
      <w:r>
        <w:rPr>
          <w:rFonts w:ascii="Arial" w:hAnsi="Arial" w:cs="Arial"/>
        </w:rPr>
        <w:t xml:space="preserve"> </w:t>
      </w:r>
      <w:r w:rsidR="00330B55">
        <w:rPr>
          <w:rFonts w:ascii="Arial" w:hAnsi="Arial" w:cs="Arial"/>
        </w:rPr>
        <w:t xml:space="preserve">Hills </w:t>
      </w:r>
      <w:r>
        <w:rPr>
          <w:rFonts w:ascii="Arial" w:hAnsi="Arial" w:cs="Arial"/>
        </w:rPr>
        <w:t>sites.</w:t>
      </w:r>
    </w:p>
    <w:p w14:paraId="01E1A05B" w14:textId="77777777" w:rsidR="00E7711F" w:rsidRDefault="00E7711F" w:rsidP="00E7711F">
      <w:pPr>
        <w:pStyle w:val="BodyText"/>
        <w:jc w:val="both"/>
        <w:rPr>
          <w:rFonts w:ascii="Arial" w:hAnsi="Arial" w:cs="Arial"/>
        </w:rPr>
      </w:pPr>
    </w:p>
    <w:p w14:paraId="47D16E38" w14:textId="77777777" w:rsidR="00E7711F" w:rsidRDefault="00E7711F" w:rsidP="00E7711F">
      <w:pPr>
        <w:pStyle w:val="BodyText"/>
        <w:jc w:val="both"/>
        <w:rPr>
          <w:rFonts w:ascii="Arial" w:hAnsi="Arial" w:cs="Arial"/>
        </w:rPr>
      </w:pPr>
    </w:p>
    <w:p w14:paraId="487E25CC" w14:textId="77777777" w:rsidR="00E7711F" w:rsidRDefault="00E7711F" w:rsidP="00E7711F">
      <w:pPr>
        <w:pStyle w:val="BodyText"/>
        <w:jc w:val="both"/>
        <w:rPr>
          <w:rFonts w:ascii="Arial" w:hAnsi="Arial" w:cs="Arial"/>
        </w:rPr>
      </w:pPr>
    </w:p>
    <w:p w14:paraId="2A7CF095" w14:textId="77777777" w:rsidR="00E7711F" w:rsidRDefault="00E7711F" w:rsidP="00E7711F">
      <w:pPr>
        <w:rPr>
          <w:b/>
          <w:iCs/>
          <w:color w:val="595959" w:themeColor="text1" w:themeTint="A6"/>
          <w:sz w:val="20"/>
          <w:szCs w:val="18"/>
          <w:lang w:val="en-GB"/>
        </w:rPr>
      </w:pPr>
      <w:r>
        <w:rPr>
          <w:lang w:val="en-GB"/>
        </w:rPr>
        <w:br w:type="page"/>
      </w:r>
    </w:p>
    <w:p w14:paraId="16264612" w14:textId="77777777" w:rsidR="00E7711F" w:rsidRDefault="00E7711F" w:rsidP="00E7711F">
      <w:pPr>
        <w:pStyle w:val="BodyText"/>
        <w:rPr>
          <w:rFonts w:ascii="Arial" w:hAnsi="Arial" w:cs="Arial"/>
        </w:rPr>
      </w:pPr>
      <w:r>
        <w:rPr>
          <w:rFonts w:ascii="Arial" w:hAnsi="Arial" w:cs="Arial"/>
          <w:noProof/>
          <w:lang w:eastAsia="en-GB"/>
        </w:rPr>
        <w:lastRenderedPageBreak/>
        <w:drawing>
          <wp:inline distT="0" distB="0" distL="0" distR="0" wp14:anchorId="48D357BA" wp14:editId="6ED949FE">
            <wp:extent cx="5362575" cy="56822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36">
                      <a:extLst>
                        <a:ext uri="{28A0092B-C50C-407E-A947-70E740481C1C}">
                          <a14:useLocalDpi xmlns:a14="http://schemas.microsoft.com/office/drawing/2010/main" val="0"/>
                        </a:ext>
                      </a:extLst>
                    </a:blip>
                    <a:srcRect l="7937" t="5351" r="7149" b="6426"/>
                    <a:stretch/>
                  </pic:blipFill>
                  <pic:spPr bwMode="auto">
                    <a:xfrm>
                      <a:off x="0" y="0"/>
                      <a:ext cx="5384453" cy="5705382"/>
                    </a:xfrm>
                    <a:prstGeom prst="rect">
                      <a:avLst/>
                    </a:prstGeom>
                    <a:ln>
                      <a:noFill/>
                    </a:ln>
                    <a:extLst>
                      <a:ext uri="{53640926-AAD7-44D8-BBD7-CCE9431645EC}">
                        <a14:shadowObscured xmlns:a14="http://schemas.microsoft.com/office/drawing/2010/main"/>
                      </a:ext>
                    </a:extLst>
                  </pic:spPr>
                </pic:pic>
              </a:graphicData>
            </a:graphic>
          </wp:inline>
        </w:drawing>
      </w:r>
    </w:p>
    <w:p w14:paraId="14CFCFD6" w14:textId="144EC393" w:rsidR="002E5C35" w:rsidRPr="005A25DE" w:rsidRDefault="002E5C35" w:rsidP="002E5C35">
      <w:pPr>
        <w:pStyle w:val="Caption"/>
        <w:rPr>
          <w:lang w:val="en-GB"/>
        </w:rPr>
      </w:pPr>
      <w:bookmarkStart w:id="24" w:name="_Toc144800894"/>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10</w:t>
      </w:r>
      <w:r w:rsidRPr="00794360">
        <w:rPr>
          <w:noProof/>
          <w:lang w:val="en-GB"/>
        </w:rPr>
        <w:fldChar w:fldCharType="end"/>
      </w:r>
      <w:r w:rsidRPr="00794360">
        <w:rPr>
          <w:lang w:val="en-GB"/>
        </w:rPr>
        <w:t xml:space="preserve">: </w:t>
      </w:r>
      <w:r w:rsidRPr="002E5C35">
        <w:rPr>
          <w:lang w:val="en-GB"/>
        </w:rPr>
        <w:t>Simulated current speed (m/s) and direction (degrees), SST (</w:t>
      </w:r>
      <w:proofErr w:type="spellStart"/>
      <w:r w:rsidRPr="00960C62">
        <w:rPr>
          <w:vertAlign w:val="superscript"/>
          <w:lang w:val="en-GB"/>
        </w:rPr>
        <w:t>o</w:t>
      </w:r>
      <w:r w:rsidRPr="002E5C35">
        <w:rPr>
          <w:lang w:val="en-GB"/>
        </w:rPr>
        <w:t>C</w:t>
      </w:r>
      <w:proofErr w:type="spellEnd"/>
      <w:r w:rsidRPr="002E5C35">
        <w:rPr>
          <w:lang w:val="en-GB"/>
        </w:rPr>
        <w:t xml:space="preserve">), </w:t>
      </w:r>
      <w:proofErr w:type="spellStart"/>
      <w:r w:rsidRPr="002E5C35">
        <w:rPr>
          <w:lang w:val="en-GB"/>
        </w:rPr>
        <w:t>Chl</w:t>
      </w:r>
      <w:proofErr w:type="spellEnd"/>
      <w:r w:rsidRPr="002E5C35">
        <w:rPr>
          <w:lang w:val="en-GB"/>
        </w:rPr>
        <w:t>-a (mg/m</w:t>
      </w:r>
      <w:r w:rsidRPr="00D726EE">
        <w:rPr>
          <w:vertAlign w:val="superscript"/>
          <w:lang w:val="en-GB"/>
        </w:rPr>
        <w:t>3</w:t>
      </w:r>
      <w:r w:rsidRPr="002E5C35">
        <w:rPr>
          <w:lang w:val="en-GB"/>
        </w:rPr>
        <w:t xml:space="preserve">) and Eutrophication Index (E.I), indicating environmental status (&lt;0.04 very good, 0.04 - 0.38 good, 0.38 - 0.85 moderate, 0.85 - 1.51 poor, &gt; 1.51 bad) in the vicinity of fish farms during spring for different scenario simulations: (Ref0: No fish farms and Sc2: high impact scenario, see Table </w:t>
      </w:r>
      <w:r w:rsidR="005C6066">
        <w:rPr>
          <w:lang w:val="en-GB"/>
        </w:rPr>
        <w:t>2</w:t>
      </w:r>
      <w:r w:rsidRPr="002E5C35">
        <w:rPr>
          <w:lang w:val="en-GB"/>
        </w:rPr>
        <w:t>), over 2016, 2017 and 2018 period</w:t>
      </w:r>
      <w:r w:rsidRPr="00794360">
        <w:rPr>
          <w:lang w:val="en-GB"/>
        </w:rPr>
        <w:t>.</w:t>
      </w:r>
      <w:bookmarkEnd w:id="24"/>
      <w:r w:rsidRPr="00794360">
        <w:rPr>
          <w:lang w:val="en-GB"/>
        </w:rPr>
        <w:t xml:space="preserve"> </w:t>
      </w:r>
    </w:p>
    <w:p w14:paraId="54A33908" w14:textId="77777777" w:rsidR="002E5C35" w:rsidRPr="002E5C35" w:rsidRDefault="002E5C35" w:rsidP="002E5C35">
      <w:pPr>
        <w:rPr>
          <w:lang w:val="en-GB"/>
        </w:rPr>
      </w:pPr>
    </w:p>
    <w:p w14:paraId="179E7979" w14:textId="77777777" w:rsidR="00E7711F" w:rsidRDefault="00E7711F" w:rsidP="00E7711F">
      <w:pPr>
        <w:rPr>
          <w:lang w:val="en-GB"/>
        </w:rPr>
      </w:pPr>
      <w:r>
        <w:rPr>
          <w:noProof/>
          <w:lang w:val="en-GB" w:eastAsia="en-GB"/>
        </w:rPr>
        <w:lastRenderedPageBreak/>
        <w:drawing>
          <wp:inline distT="0" distB="0" distL="0" distR="0" wp14:anchorId="20F883CB" wp14:editId="78E4D996">
            <wp:extent cx="5191125" cy="617323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7">
                      <a:extLst>
                        <a:ext uri="{28A0092B-C50C-407E-A947-70E740481C1C}">
                          <a14:useLocalDpi xmlns:a14="http://schemas.microsoft.com/office/drawing/2010/main" val="0"/>
                        </a:ext>
                      </a:extLst>
                    </a:blip>
                    <a:srcRect l="6448" t="5564" r="7894" b="6544"/>
                    <a:stretch/>
                  </pic:blipFill>
                  <pic:spPr bwMode="auto">
                    <a:xfrm>
                      <a:off x="0" y="0"/>
                      <a:ext cx="5194519" cy="6177266"/>
                    </a:xfrm>
                    <a:prstGeom prst="rect">
                      <a:avLst/>
                    </a:prstGeom>
                    <a:ln>
                      <a:noFill/>
                    </a:ln>
                    <a:extLst>
                      <a:ext uri="{53640926-AAD7-44D8-BBD7-CCE9431645EC}">
                        <a14:shadowObscured xmlns:a14="http://schemas.microsoft.com/office/drawing/2010/main"/>
                      </a:ext>
                    </a:extLst>
                  </pic:spPr>
                </pic:pic>
              </a:graphicData>
            </a:graphic>
          </wp:inline>
        </w:drawing>
      </w:r>
    </w:p>
    <w:p w14:paraId="68B4ADB0" w14:textId="337E132E" w:rsidR="002E5C35" w:rsidRPr="005A25DE" w:rsidRDefault="002E5C35" w:rsidP="002E5C35">
      <w:pPr>
        <w:pStyle w:val="Caption"/>
        <w:rPr>
          <w:lang w:val="en-GB"/>
        </w:rPr>
      </w:pPr>
      <w:bookmarkStart w:id="25" w:name="_Toc144800895"/>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11</w:t>
      </w:r>
      <w:r w:rsidRPr="00794360">
        <w:rPr>
          <w:noProof/>
          <w:lang w:val="en-GB"/>
        </w:rPr>
        <w:fldChar w:fldCharType="end"/>
      </w:r>
      <w:r w:rsidRPr="00794360">
        <w:rPr>
          <w:lang w:val="en-GB"/>
        </w:rPr>
        <w:t xml:space="preserve">: </w:t>
      </w:r>
      <w:r w:rsidRPr="002E5C35">
        <w:rPr>
          <w:lang w:val="en-GB"/>
        </w:rPr>
        <w:t>Simulated current speed (m/s) and direction (degrees), SST (</w:t>
      </w:r>
      <w:proofErr w:type="spellStart"/>
      <w:r w:rsidRPr="00960C62">
        <w:rPr>
          <w:vertAlign w:val="superscript"/>
          <w:lang w:val="en-GB"/>
        </w:rPr>
        <w:t>o</w:t>
      </w:r>
      <w:r w:rsidRPr="002E5C35">
        <w:rPr>
          <w:lang w:val="en-GB"/>
        </w:rPr>
        <w:t>C</w:t>
      </w:r>
      <w:proofErr w:type="spellEnd"/>
      <w:r w:rsidRPr="002E5C35">
        <w:rPr>
          <w:lang w:val="en-GB"/>
        </w:rPr>
        <w:t xml:space="preserve">), </w:t>
      </w:r>
      <w:proofErr w:type="spellStart"/>
      <w:r w:rsidRPr="002E5C35">
        <w:rPr>
          <w:lang w:val="en-GB"/>
        </w:rPr>
        <w:t>Chl</w:t>
      </w:r>
      <w:proofErr w:type="spellEnd"/>
      <w:r w:rsidRPr="002E5C35">
        <w:rPr>
          <w:lang w:val="en-GB"/>
        </w:rPr>
        <w:t>-a (mg/m</w:t>
      </w:r>
      <w:r w:rsidRPr="00960C62">
        <w:rPr>
          <w:vertAlign w:val="superscript"/>
          <w:lang w:val="en-GB"/>
        </w:rPr>
        <w:t>3</w:t>
      </w:r>
      <w:r w:rsidRPr="002E5C35">
        <w:rPr>
          <w:lang w:val="en-GB"/>
        </w:rPr>
        <w:t xml:space="preserve">) and Eutrophication Index (E.I), indicating environmental status (&lt;0.04 very good, 0.04 - 0.38 good, 0.38 - 0.85 moderate, 0.85 - 1.51 poor, &gt; 1.51 bad) in the vicinity of fish farms during summer for different scenario simulations: (Ref0: No fish farms and Sc2: high impact scenario, see Table </w:t>
      </w:r>
      <w:r w:rsidR="005C6066">
        <w:rPr>
          <w:lang w:val="en-GB"/>
        </w:rPr>
        <w:t>2</w:t>
      </w:r>
      <w:r w:rsidRPr="002E5C35">
        <w:rPr>
          <w:lang w:val="en-GB"/>
        </w:rPr>
        <w:t>), over 2016, 2017 and 2018 period</w:t>
      </w:r>
      <w:r w:rsidRPr="00794360">
        <w:rPr>
          <w:lang w:val="en-GB"/>
        </w:rPr>
        <w:t>.</w:t>
      </w:r>
      <w:bookmarkEnd w:id="25"/>
      <w:r w:rsidRPr="00794360">
        <w:rPr>
          <w:lang w:val="en-GB"/>
        </w:rPr>
        <w:t xml:space="preserve"> </w:t>
      </w:r>
    </w:p>
    <w:p w14:paraId="5E096F75" w14:textId="77777777" w:rsidR="00E7711F" w:rsidRDefault="00E7711F" w:rsidP="00E7711F">
      <w:pPr>
        <w:rPr>
          <w:lang w:val="en-GB"/>
        </w:rPr>
      </w:pPr>
    </w:p>
    <w:p w14:paraId="2B05B472" w14:textId="77777777" w:rsidR="00E7711F" w:rsidRDefault="00E7711F" w:rsidP="00E7711F">
      <w:pPr>
        <w:rPr>
          <w:lang w:val="en-GB"/>
        </w:rPr>
      </w:pPr>
    </w:p>
    <w:p w14:paraId="14E84432" w14:textId="77777777" w:rsidR="00E7711F" w:rsidRDefault="00E7711F" w:rsidP="00E7711F">
      <w:pPr>
        <w:rPr>
          <w:lang w:val="en-GB"/>
        </w:rPr>
      </w:pPr>
      <w:r>
        <w:rPr>
          <w:noProof/>
          <w:lang w:val="en-GB" w:eastAsia="en-GB"/>
        </w:rPr>
        <w:lastRenderedPageBreak/>
        <w:drawing>
          <wp:inline distT="0" distB="0" distL="0" distR="0" wp14:anchorId="7E7C3D55" wp14:editId="7F49F12B">
            <wp:extent cx="4829175" cy="3099435"/>
            <wp:effectExtent l="0" t="0" r="9525"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rotWithShape="1">
                    <a:blip r:embed="rId38">
                      <a:extLst>
                        <a:ext uri="{28A0092B-C50C-407E-A947-70E740481C1C}">
                          <a14:useLocalDpi xmlns:a14="http://schemas.microsoft.com/office/drawing/2010/main" val="0"/>
                        </a:ext>
                      </a:extLst>
                    </a:blip>
                    <a:srcRect l="8764" r="7397"/>
                    <a:stretch/>
                  </pic:blipFill>
                  <pic:spPr bwMode="auto">
                    <a:xfrm>
                      <a:off x="0" y="0"/>
                      <a:ext cx="4829175" cy="3099435"/>
                    </a:xfrm>
                    <a:prstGeom prst="rect">
                      <a:avLst/>
                    </a:prstGeom>
                    <a:ln>
                      <a:noFill/>
                    </a:ln>
                    <a:extLst>
                      <a:ext uri="{53640926-AAD7-44D8-BBD7-CCE9431645EC}">
                        <a14:shadowObscured xmlns:a14="http://schemas.microsoft.com/office/drawing/2010/main"/>
                      </a:ext>
                    </a:extLst>
                  </pic:spPr>
                </pic:pic>
              </a:graphicData>
            </a:graphic>
          </wp:inline>
        </w:drawing>
      </w:r>
    </w:p>
    <w:p w14:paraId="4BD4FDAA" w14:textId="16F52307" w:rsidR="002E5C35" w:rsidRPr="005A25DE" w:rsidRDefault="002E5C35" w:rsidP="002E5C35">
      <w:pPr>
        <w:pStyle w:val="Caption"/>
        <w:rPr>
          <w:lang w:val="en-GB"/>
        </w:rPr>
      </w:pPr>
      <w:bookmarkStart w:id="26" w:name="_Toc144800896"/>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12</w:t>
      </w:r>
      <w:r w:rsidRPr="00794360">
        <w:rPr>
          <w:noProof/>
          <w:lang w:val="en-GB"/>
        </w:rPr>
        <w:fldChar w:fldCharType="end"/>
      </w:r>
      <w:r w:rsidRPr="00794360">
        <w:rPr>
          <w:lang w:val="en-GB"/>
        </w:rPr>
        <w:t xml:space="preserve">: </w:t>
      </w:r>
      <w:r w:rsidRPr="002E5C35">
        <w:rPr>
          <w:lang w:val="en-GB"/>
        </w:rPr>
        <w:t>Percentage variability (max/min</w:t>
      </w:r>
      <w:r w:rsidRPr="00BA3661">
        <w:rPr>
          <w:vertAlign w:val="superscript"/>
          <w:lang w:val="en-GB"/>
        </w:rPr>
        <w:t>-1</w:t>
      </w:r>
      <w:r w:rsidRPr="002E5C35">
        <w:rPr>
          <w:lang w:val="en-GB"/>
        </w:rPr>
        <w:t xml:space="preserve"> x 100, top) and mean (2016-2018) value of the eutrophication index, simulated over 2016-2018 in different areas for spring and summer period</w:t>
      </w:r>
      <w:r w:rsidRPr="00794360">
        <w:rPr>
          <w:lang w:val="en-GB"/>
        </w:rPr>
        <w:t>.</w:t>
      </w:r>
      <w:bookmarkEnd w:id="26"/>
      <w:r w:rsidRPr="00794360">
        <w:rPr>
          <w:lang w:val="en-GB"/>
        </w:rPr>
        <w:t xml:space="preserve"> </w:t>
      </w:r>
    </w:p>
    <w:p w14:paraId="7D73501A" w14:textId="77777777" w:rsidR="002E5C35" w:rsidRPr="002E5C35" w:rsidRDefault="002E5C35" w:rsidP="00E7711F">
      <w:pPr>
        <w:rPr>
          <w:lang w:val="en-GB"/>
        </w:rPr>
      </w:pPr>
    </w:p>
    <w:p w14:paraId="12EAC3E4" w14:textId="77777777" w:rsidR="00E7711F" w:rsidRPr="00DF6D29" w:rsidRDefault="00E7711F" w:rsidP="00E7711F">
      <w:pPr>
        <w:pStyle w:val="Heading3"/>
        <w:numPr>
          <w:ilvl w:val="2"/>
          <w:numId w:val="40"/>
        </w:numPr>
        <w:rPr>
          <w:highlight w:val="white"/>
          <w:lang w:val="en-GB"/>
        </w:rPr>
      </w:pPr>
      <w:bookmarkStart w:id="27" w:name="_Toc145304816"/>
      <w:r>
        <w:rPr>
          <w:highlight w:val="white"/>
          <w:lang w:val="en-GB"/>
        </w:rPr>
        <w:t>Fine-m</w:t>
      </w:r>
      <w:r w:rsidRPr="00794360">
        <w:rPr>
          <w:highlight w:val="white"/>
          <w:lang w:val="en-GB"/>
        </w:rPr>
        <w:t xml:space="preserve">odel </w:t>
      </w:r>
      <w:r>
        <w:rPr>
          <w:highlight w:val="white"/>
          <w:lang w:val="en-GB"/>
        </w:rPr>
        <w:t>scenario simulations</w:t>
      </w:r>
      <w:bookmarkEnd w:id="27"/>
      <w:r w:rsidRPr="00794360">
        <w:rPr>
          <w:highlight w:val="white"/>
          <w:lang w:val="en-GB"/>
        </w:rPr>
        <w:t xml:space="preserve"> </w:t>
      </w:r>
    </w:p>
    <w:p w14:paraId="5369AB1D" w14:textId="77777777" w:rsidR="00E7711F" w:rsidRDefault="00E7711F" w:rsidP="00E7711F">
      <w:r>
        <w:rPr>
          <w:noProof/>
          <w:lang w:val="en-GB" w:eastAsia="en-GB"/>
        </w:rPr>
        <w:drawing>
          <wp:inline distT="0" distB="0" distL="0" distR="0" wp14:anchorId="52B5F23C" wp14:editId="7EB0B5BE">
            <wp:extent cx="5718762" cy="316850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9">
                      <a:extLst>
                        <a:ext uri="{28A0092B-C50C-407E-A947-70E740481C1C}">
                          <a14:useLocalDpi xmlns:a14="http://schemas.microsoft.com/office/drawing/2010/main" val="0"/>
                        </a:ext>
                      </a:extLst>
                    </a:blip>
                    <a:srcRect l="8103" r="6239" b="14584"/>
                    <a:stretch/>
                  </pic:blipFill>
                  <pic:spPr bwMode="auto">
                    <a:xfrm>
                      <a:off x="0" y="0"/>
                      <a:ext cx="5731301" cy="3175450"/>
                    </a:xfrm>
                    <a:prstGeom prst="rect">
                      <a:avLst/>
                    </a:prstGeom>
                    <a:ln>
                      <a:noFill/>
                    </a:ln>
                    <a:extLst>
                      <a:ext uri="{53640926-AAD7-44D8-BBD7-CCE9431645EC}">
                        <a14:shadowObscured xmlns:a14="http://schemas.microsoft.com/office/drawing/2010/main"/>
                      </a:ext>
                    </a:extLst>
                  </pic:spPr>
                </pic:pic>
              </a:graphicData>
            </a:graphic>
          </wp:inline>
        </w:drawing>
      </w:r>
    </w:p>
    <w:p w14:paraId="3E31DC07" w14:textId="1945B3CD" w:rsidR="002E5C35" w:rsidRPr="005A25DE" w:rsidRDefault="002E5C35" w:rsidP="002E5C35">
      <w:pPr>
        <w:pStyle w:val="Caption"/>
        <w:rPr>
          <w:lang w:val="en-GB"/>
        </w:rPr>
      </w:pPr>
      <w:bookmarkStart w:id="28" w:name="_Toc144800897"/>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13</w:t>
      </w:r>
      <w:r w:rsidRPr="00794360">
        <w:rPr>
          <w:noProof/>
          <w:lang w:val="en-GB"/>
        </w:rPr>
        <w:fldChar w:fldCharType="end"/>
      </w:r>
      <w:r w:rsidRPr="00794360">
        <w:rPr>
          <w:lang w:val="en-GB"/>
        </w:rPr>
        <w:t xml:space="preserve">: </w:t>
      </w:r>
      <w:r w:rsidRPr="002E5C35">
        <w:rPr>
          <w:lang w:val="en-GB"/>
        </w:rPr>
        <w:t>Simulated seasonal mean near surface current velocity and phosphates (PO</w:t>
      </w:r>
      <w:r w:rsidRPr="00BA3661">
        <w:rPr>
          <w:vertAlign w:val="subscript"/>
          <w:lang w:val="en-GB"/>
        </w:rPr>
        <w:t>4</w:t>
      </w:r>
      <w:r w:rsidRPr="002E5C35">
        <w:rPr>
          <w:lang w:val="en-GB"/>
        </w:rPr>
        <w:t>) fractional change (Sc2_fine/Ref0_fine</w:t>
      </w:r>
      <w:r w:rsidRPr="00BA3661">
        <w:rPr>
          <w:vertAlign w:val="superscript"/>
          <w:lang w:val="en-GB"/>
        </w:rPr>
        <w:t>-1</w:t>
      </w:r>
      <w:r w:rsidRPr="002E5C35">
        <w:rPr>
          <w:lang w:val="en-GB"/>
        </w:rPr>
        <w:t>) during 2016. The high impact scenario simulation (Sc2_fine) includes the impact from existing coastal fish farms (see Fig.1) and also Governor’s beach (5kt) and Larnaca (3kt) open sea aquaculture. The reference (Ref0_fine) simulation is without any fish farms. A fractional change=0.5 indicates an increase of +50%</w:t>
      </w:r>
      <w:r w:rsidRPr="00794360">
        <w:rPr>
          <w:lang w:val="en-GB"/>
        </w:rPr>
        <w:t>.</w:t>
      </w:r>
      <w:bookmarkEnd w:id="28"/>
      <w:r w:rsidRPr="00794360">
        <w:rPr>
          <w:lang w:val="en-GB"/>
        </w:rPr>
        <w:t xml:space="preserve"> </w:t>
      </w:r>
    </w:p>
    <w:p w14:paraId="30977A0C" w14:textId="77777777" w:rsidR="002E5C35" w:rsidRPr="002E5C35" w:rsidRDefault="002E5C35" w:rsidP="002E5C35">
      <w:pPr>
        <w:rPr>
          <w:lang w:val="en-GB"/>
        </w:rPr>
      </w:pPr>
    </w:p>
    <w:p w14:paraId="14783BFD" w14:textId="77777777" w:rsidR="00E7711F" w:rsidRDefault="00E7711F" w:rsidP="00E7711F">
      <w:r>
        <w:rPr>
          <w:noProof/>
          <w:lang w:val="en-GB" w:eastAsia="en-GB"/>
        </w:rPr>
        <w:lastRenderedPageBreak/>
        <w:drawing>
          <wp:inline distT="0" distB="0" distL="0" distR="0" wp14:anchorId="0415C9C9" wp14:editId="11B1C8CD">
            <wp:extent cx="5776415" cy="3370521"/>
            <wp:effectExtent l="0" t="0" r="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40">
                      <a:extLst>
                        <a:ext uri="{28A0092B-C50C-407E-A947-70E740481C1C}">
                          <a14:useLocalDpi xmlns:a14="http://schemas.microsoft.com/office/drawing/2010/main" val="0"/>
                        </a:ext>
                      </a:extLst>
                    </a:blip>
                    <a:srcRect l="8433" r="7398" b="11149"/>
                    <a:stretch/>
                  </pic:blipFill>
                  <pic:spPr bwMode="auto">
                    <a:xfrm>
                      <a:off x="0" y="0"/>
                      <a:ext cx="5786314" cy="3376297"/>
                    </a:xfrm>
                    <a:prstGeom prst="rect">
                      <a:avLst/>
                    </a:prstGeom>
                    <a:ln>
                      <a:noFill/>
                    </a:ln>
                    <a:extLst>
                      <a:ext uri="{53640926-AAD7-44D8-BBD7-CCE9431645EC}">
                        <a14:shadowObscured xmlns:a14="http://schemas.microsoft.com/office/drawing/2010/main"/>
                      </a:ext>
                    </a:extLst>
                  </pic:spPr>
                </pic:pic>
              </a:graphicData>
            </a:graphic>
          </wp:inline>
        </w:drawing>
      </w:r>
    </w:p>
    <w:p w14:paraId="5E05BC80" w14:textId="2F5CA733" w:rsidR="002E5C35" w:rsidRPr="005A25DE" w:rsidRDefault="002E5C35" w:rsidP="002E5C35">
      <w:pPr>
        <w:pStyle w:val="Caption"/>
        <w:rPr>
          <w:lang w:val="en-GB"/>
        </w:rPr>
      </w:pPr>
      <w:bookmarkStart w:id="29" w:name="_Toc144800898"/>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14</w:t>
      </w:r>
      <w:r w:rsidRPr="00794360">
        <w:rPr>
          <w:noProof/>
          <w:lang w:val="en-GB"/>
        </w:rPr>
        <w:fldChar w:fldCharType="end"/>
      </w:r>
      <w:r w:rsidRPr="00794360">
        <w:rPr>
          <w:lang w:val="en-GB"/>
        </w:rPr>
        <w:t xml:space="preserve">: </w:t>
      </w:r>
      <w:r w:rsidRPr="002E5C35">
        <w:rPr>
          <w:lang w:val="en-GB"/>
        </w:rPr>
        <w:t xml:space="preserve">Simulated seasonal mean </w:t>
      </w:r>
      <w:r w:rsidR="00330B55" w:rsidRPr="002E5C35">
        <w:rPr>
          <w:lang w:val="en-GB"/>
        </w:rPr>
        <w:t>near</w:t>
      </w:r>
      <w:r w:rsidR="00330B55">
        <w:rPr>
          <w:lang w:val="en-GB"/>
        </w:rPr>
        <w:t>-</w:t>
      </w:r>
      <w:r w:rsidRPr="002E5C35">
        <w:rPr>
          <w:lang w:val="en-GB"/>
        </w:rPr>
        <w:t>surface current velocity and phosphates (PO</w:t>
      </w:r>
      <w:r w:rsidRPr="00BA3661">
        <w:rPr>
          <w:vertAlign w:val="subscript"/>
          <w:lang w:val="en-GB"/>
        </w:rPr>
        <w:t>4</w:t>
      </w:r>
      <w:r w:rsidRPr="002E5C35">
        <w:rPr>
          <w:lang w:val="en-GB"/>
        </w:rPr>
        <w:t>) fractional change (Sc2_fine/Ref_fine</w:t>
      </w:r>
      <w:r w:rsidRPr="00BA3661">
        <w:rPr>
          <w:vertAlign w:val="superscript"/>
          <w:lang w:val="en-GB"/>
        </w:rPr>
        <w:t>-1</w:t>
      </w:r>
      <w:r w:rsidRPr="002E5C35">
        <w:rPr>
          <w:lang w:val="en-GB"/>
        </w:rPr>
        <w:t xml:space="preserve">) during 2016. The </w:t>
      </w:r>
      <w:r w:rsidR="00330B55" w:rsidRPr="002E5C35">
        <w:rPr>
          <w:lang w:val="en-GB"/>
        </w:rPr>
        <w:t>high</w:t>
      </w:r>
      <w:r w:rsidR="00330B55">
        <w:rPr>
          <w:lang w:val="en-GB"/>
        </w:rPr>
        <w:t>-</w:t>
      </w:r>
      <w:r w:rsidRPr="002E5C35">
        <w:rPr>
          <w:lang w:val="en-GB"/>
        </w:rPr>
        <w:t xml:space="preserve">impact scenario simulation (Sc2_fine) includes the impact from existing coastal fish farms (see Fig.1) and also Governor’s </w:t>
      </w:r>
      <w:r w:rsidR="00330B55">
        <w:rPr>
          <w:lang w:val="en-GB"/>
        </w:rPr>
        <w:t>B</w:t>
      </w:r>
      <w:r w:rsidR="00330B55" w:rsidRPr="002E5C35">
        <w:rPr>
          <w:lang w:val="en-GB"/>
        </w:rPr>
        <w:t xml:space="preserve">each </w:t>
      </w:r>
      <w:r w:rsidRPr="002E5C35">
        <w:rPr>
          <w:lang w:val="en-GB"/>
        </w:rPr>
        <w:t>(5kt) and Larnaca (3kt) open sea aquaculture. The reference (</w:t>
      </w:r>
      <w:proofErr w:type="spellStart"/>
      <w:r w:rsidRPr="002E5C35">
        <w:rPr>
          <w:lang w:val="en-GB"/>
        </w:rPr>
        <w:t>Ref_fine</w:t>
      </w:r>
      <w:proofErr w:type="spellEnd"/>
      <w:r w:rsidRPr="002E5C35">
        <w:rPr>
          <w:lang w:val="en-GB"/>
        </w:rPr>
        <w:t>) simulation includes only existing fish farms. A fractional change=0.5 indicates an increase of +50%</w:t>
      </w:r>
      <w:r w:rsidRPr="00794360">
        <w:rPr>
          <w:lang w:val="en-GB"/>
        </w:rPr>
        <w:t>.</w:t>
      </w:r>
      <w:bookmarkEnd w:id="29"/>
      <w:r w:rsidRPr="00794360">
        <w:rPr>
          <w:lang w:val="en-GB"/>
        </w:rPr>
        <w:t xml:space="preserve"> </w:t>
      </w:r>
    </w:p>
    <w:p w14:paraId="0F9B9091" w14:textId="77777777" w:rsidR="002E5C35" w:rsidRPr="002E5C35" w:rsidRDefault="002E5C35" w:rsidP="002E5C35">
      <w:pPr>
        <w:rPr>
          <w:lang w:val="en-GB"/>
        </w:rPr>
      </w:pPr>
    </w:p>
    <w:p w14:paraId="5CE14B31" w14:textId="1920FDB1" w:rsidR="00E7711F" w:rsidRPr="00FB3B68" w:rsidRDefault="00E7711F" w:rsidP="00E7711F">
      <w:pPr>
        <w:pStyle w:val="BodyText"/>
        <w:ind w:firstLine="426"/>
        <w:jc w:val="both"/>
        <w:rPr>
          <w:rFonts w:ascii="Arial" w:hAnsi="Arial" w:cs="Arial"/>
        </w:rPr>
      </w:pPr>
      <w:r>
        <w:rPr>
          <w:rFonts w:ascii="Arial" w:hAnsi="Arial" w:cs="Arial"/>
        </w:rPr>
        <w:t xml:space="preserve">The simulated with the fine model (resolution ~100m) in Cyp-1 area seasonal mean relative increase of phosphates, resulting from both existing and new open sea fish farm at Governor’s </w:t>
      </w:r>
      <w:r w:rsidR="00330B55">
        <w:rPr>
          <w:rFonts w:ascii="Arial" w:hAnsi="Arial" w:cs="Arial"/>
        </w:rPr>
        <w:t>B</w:t>
      </w:r>
      <w:r>
        <w:rPr>
          <w:rFonts w:ascii="Arial" w:hAnsi="Arial" w:cs="Arial"/>
        </w:rPr>
        <w:t>each</w:t>
      </w:r>
      <w:r w:rsidR="00330B55">
        <w:rPr>
          <w:rFonts w:ascii="Arial" w:hAnsi="Arial" w:cs="Arial"/>
        </w:rPr>
        <w:t>,</w:t>
      </w:r>
      <w:r>
        <w:rPr>
          <w:rFonts w:ascii="Arial" w:hAnsi="Arial" w:cs="Arial"/>
        </w:rPr>
        <w:t xml:space="preserve"> is shown in Figure 13. This relative increase is significantly reduced (Figure 14), considering the impact </w:t>
      </w:r>
      <w:r w:rsidR="00330B55">
        <w:rPr>
          <w:rFonts w:ascii="Arial" w:hAnsi="Arial" w:cs="Arial"/>
        </w:rPr>
        <w:t xml:space="preserve">of </w:t>
      </w:r>
      <w:r>
        <w:rPr>
          <w:rFonts w:ascii="Arial" w:hAnsi="Arial" w:cs="Arial"/>
        </w:rPr>
        <w:t xml:space="preserve">only new </w:t>
      </w:r>
      <w:r w:rsidR="00330B55">
        <w:rPr>
          <w:rFonts w:ascii="Arial" w:hAnsi="Arial" w:cs="Arial"/>
        </w:rPr>
        <w:t>open-</w:t>
      </w:r>
      <w:r>
        <w:rPr>
          <w:rFonts w:ascii="Arial" w:hAnsi="Arial" w:cs="Arial"/>
        </w:rPr>
        <w:t xml:space="preserve">sea farms. Results with the fine model appear quite similar </w:t>
      </w:r>
      <w:r w:rsidR="00330B55">
        <w:rPr>
          <w:rFonts w:ascii="Arial" w:hAnsi="Arial" w:cs="Arial"/>
        </w:rPr>
        <w:t xml:space="preserve">to </w:t>
      </w:r>
      <w:r>
        <w:rPr>
          <w:rFonts w:ascii="Arial" w:hAnsi="Arial" w:cs="Arial"/>
        </w:rPr>
        <w:t xml:space="preserve">those simulated with the intermediate (~400m resolution) model (see D11). Apart from very fine details related </w:t>
      </w:r>
      <w:r w:rsidR="00330B55">
        <w:rPr>
          <w:rFonts w:ascii="Arial" w:hAnsi="Arial" w:cs="Arial"/>
        </w:rPr>
        <w:t xml:space="preserve">to </w:t>
      </w:r>
      <w:r>
        <w:rPr>
          <w:rFonts w:ascii="Arial" w:hAnsi="Arial" w:cs="Arial"/>
        </w:rPr>
        <w:t xml:space="preserve">the better resolution of fish farms in the finer model grid, the only noticeable difference is a slight increase of phosphates in </w:t>
      </w:r>
      <w:proofErr w:type="spellStart"/>
      <w:r>
        <w:rPr>
          <w:rFonts w:ascii="Arial" w:hAnsi="Arial" w:cs="Arial"/>
        </w:rPr>
        <w:t>Akrotiri</w:t>
      </w:r>
      <w:proofErr w:type="spellEnd"/>
      <w:r>
        <w:rPr>
          <w:rFonts w:ascii="Arial" w:hAnsi="Arial" w:cs="Arial"/>
        </w:rPr>
        <w:t xml:space="preserve"> bay northern coastal area during spring. This similarity is probably expected, as this is an exposed area, significantly affected by open sea circulation</w:t>
      </w:r>
      <w:r w:rsidR="00330B55">
        <w:rPr>
          <w:rFonts w:ascii="Arial" w:hAnsi="Arial" w:cs="Arial"/>
        </w:rPr>
        <w:t>. Fine model results are largely controlled by open boundary conditions</w:t>
      </w:r>
      <w:r>
        <w:rPr>
          <w:rFonts w:ascii="Arial" w:hAnsi="Arial" w:cs="Arial"/>
        </w:rPr>
        <w:t xml:space="preserve"> obtained from the intermediate model simulation. As already discussed in D11, the effect from fish farms appears relatively stronger during the spring-summer period, which is related to the increase of stratification and the increase of fish feed and aquaculture effluents that peak during spring. The effluents from existing farms in </w:t>
      </w:r>
      <w:proofErr w:type="spellStart"/>
      <w:r>
        <w:rPr>
          <w:rFonts w:ascii="Arial" w:hAnsi="Arial" w:cs="Arial"/>
        </w:rPr>
        <w:t>Akrotiri</w:t>
      </w:r>
      <w:proofErr w:type="spellEnd"/>
      <w:r>
        <w:rPr>
          <w:rFonts w:ascii="Arial" w:hAnsi="Arial" w:cs="Arial"/>
        </w:rPr>
        <w:t xml:space="preserve"> </w:t>
      </w:r>
      <w:r w:rsidR="00330B55">
        <w:rPr>
          <w:rFonts w:ascii="Arial" w:hAnsi="Arial" w:cs="Arial"/>
        </w:rPr>
        <w:t xml:space="preserve">Bay </w:t>
      </w:r>
      <w:r>
        <w:rPr>
          <w:rFonts w:ascii="Arial" w:hAnsi="Arial" w:cs="Arial"/>
        </w:rPr>
        <w:t xml:space="preserve">and the open sea farm at Governor’s </w:t>
      </w:r>
      <w:r w:rsidR="00330B55">
        <w:rPr>
          <w:rFonts w:ascii="Arial" w:hAnsi="Arial" w:cs="Arial"/>
        </w:rPr>
        <w:t>B</w:t>
      </w:r>
      <w:r>
        <w:rPr>
          <w:rFonts w:ascii="Arial" w:hAnsi="Arial" w:cs="Arial"/>
        </w:rPr>
        <w:t xml:space="preserve">each follow a north-eastward pathway during winter-spring, which reverses to south-west during summer-autumn (see also D11). In Figure 15, the simulated eutrophication index (E.I.) is shown for different scenario simulations (see Table </w:t>
      </w:r>
      <w:r w:rsidR="005C6066">
        <w:rPr>
          <w:rFonts w:ascii="Arial" w:hAnsi="Arial" w:cs="Arial"/>
        </w:rPr>
        <w:t>3</w:t>
      </w:r>
      <w:r>
        <w:rPr>
          <w:rFonts w:ascii="Arial" w:hAnsi="Arial" w:cs="Arial"/>
        </w:rPr>
        <w:t>) during spring and summer 2016. During spring, t</w:t>
      </w:r>
      <w:r w:rsidRPr="00A0008D">
        <w:rPr>
          <w:rFonts w:ascii="Arial" w:hAnsi="Arial" w:cs="Arial"/>
        </w:rPr>
        <w:t xml:space="preserve">he E.I. indicates good to moderate environmental conditions even in the vicinity of the fish farms, suggesting that aquaculture wastes are effectively dispersed by ocean currents. </w:t>
      </w:r>
      <w:r>
        <w:rPr>
          <w:rFonts w:ascii="Arial" w:hAnsi="Arial" w:cs="Arial"/>
        </w:rPr>
        <w:t xml:space="preserve">The effect from </w:t>
      </w:r>
      <w:r w:rsidRPr="00A0008D">
        <w:rPr>
          <w:rFonts w:ascii="Arial" w:hAnsi="Arial" w:cs="Arial"/>
        </w:rPr>
        <w:t xml:space="preserve">open sea aquaculture at Governor’s </w:t>
      </w:r>
      <w:r w:rsidRPr="00A0008D">
        <w:rPr>
          <w:rFonts w:ascii="Arial" w:hAnsi="Arial" w:cs="Arial"/>
        </w:rPr>
        <w:lastRenderedPageBreak/>
        <w:t>beach</w:t>
      </w:r>
      <w:r>
        <w:rPr>
          <w:rFonts w:ascii="Arial" w:hAnsi="Arial" w:cs="Arial"/>
        </w:rPr>
        <w:t xml:space="preserve"> appears relatively </w:t>
      </w:r>
      <w:r w:rsidRPr="00A0008D">
        <w:rPr>
          <w:rFonts w:ascii="Arial" w:hAnsi="Arial" w:cs="Arial"/>
        </w:rPr>
        <w:t>small</w:t>
      </w:r>
      <w:r>
        <w:rPr>
          <w:rFonts w:ascii="Arial" w:hAnsi="Arial" w:cs="Arial"/>
        </w:rPr>
        <w:t>er, as compared to</w:t>
      </w:r>
      <w:r w:rsidRPr="00A0008D">
        <w:rPr>
          <w:rFonts w:ascii="Arial" w:hAnsi="Arial" w:cs="Arial"/>
        </w:rPr>
        <w:t xml:space="preserve"> existing farms, particularly for the low-production scenario (2kt). </w:t>
      </w:r>
      <w:r>
        <w:rPr>
          <w:rFonts w:ascii="Arial" w:hAnsi="Arial" w:cs="Arial"/>
        </w:rPr>
        <w:t xml:space="preserve">During summer, the E.I. indicates “good” conditions in the entire area, as the increased stratification results in an overall decrease </w:t>
      </w:r>
      <w:r w:rsidR="00330B55">
        <w:rPr>
          <w:rFonts w:ascii="Arial" w:hAnsi="Arial" w:cs="Arial"/>
        </w:rPr>
        <w:t xml:space="preserve">in </w:t>
      </w:r>
      <w:r>
        <w:rPr>
          <w:rFonts w:ascii="Arial" w:hAnsi="Arial" w:cs="Arial"/>
        </w:rPr>
        <w:t>dissolved inorganic nutrients and plankton productivity.</w:t>
      </w:r>
    </w:p>
    <w:p w14:paraId="4A0E8AF0" w14:textId="77777777" w:rsidR="00E7711F" w:rsidRDefault="00E7711F" w:rsidP="00E7711F">
      <w:r>
        <w:rPr>
          <w:noProof/>
          <w:lang w:val="en-GB" w:eastAsia="en-GB"/>
        </w:rPr>
        <w:drawing>
          <wp:inline distT="0" distB="0" distL="0" distR="0" wp14:anchorId="160F382D" wp14:editId="60EAC16E">
            <wp:extent cx="2695575" cy="57912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rotWithShape="1">
                    <a:blip r:embed="rId41">
                      <a:extLst>
                        <a:ext uri="{28A0092B-C50C-407E-A947-70E740481C1C}">
                          <a14:useLocalDpi xmlns:a14="http://schemas.microsoft.com/office/drawing/2010/main" val="0"/>
                        </a:ext>
                      </a:extLst>
                    </a:blip>
                    <a:srcRect l="27285" r="25918" b="7749"/>
                    <a:stretch/>
                  </pic:blipFill>
                  <pic:spPr bwMode="auto">
                    <a:xfrm>
                      <a:off x="0" y="0"/>
                      <a:ext cx="2695575" cy="5791200"/>
                    </a:xfrm>
                    <a:prstGeom prst="rect">
                      <a:avLst/>
                    </a:prstGeom>
                    <a:ln>
                      <a:noFill/>
                    </a:ln>
                    <a:extLst>
                      <a:ext uri="{53640926-AAD7-44D8-BBD7-CCE9431645EC}">
                        <a14:shadowObscured xmlns:a14="http://schemas.microsoft.com/office/drawing/2010/main"/>
                      </a:ext>
                    </a:extLst>
                  </pic:spPr>
                </pic:pic>
              </a:graphicData>
            </a:graphic>
          </wp:inline>
        </w:drawing>
      </w:r>
      <w:r>
        <w:rPr>
          <w:noProof/>
          <w:lang w:val="en-GB" w:eastAsia="en-GB"/>
        </w:rPr>
        <w:drawing>
          <wp:inline distT="0" distB="0" distL="0" distR="0" wp14:anchorId="290B83CF" wp14:editId="39CC76CA">
            <wp:extent cx="2714625" cy="58007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42">
                      <a:extLst>
                        <a:ext uri="{28A0092B-C50C-407E-A947-70E740481C1C}">
                          <a14:useLocalDpi xmlns:a14="http://schemas.microsoft.com/office/drawing/2010/main" val="0"/>
                        </a:ext>
                      </a:extLst>
                    </a:blip>
                    <a:srcRect l="27285" r="25587" b="7597"/>
                    <a:stretch/>
                  </pic:blipFill>
                  <pic:spPr bwMode="auto">
                    <a:xfrm>
                      <a:off x="0" y="0"/>
                      <a:ext cx="2714625" cy="5800725"/>
                    </a:xfrm>
                    <a:prstGeom prst="rect">
                      <a:avLst/>
                    </a:prstGeom>
                    <a:ln>
                      <a:noFill/>
                    </a:ln>
                    <a:extLst>
                      <a:ext uri="{53640926-AAD7-44D8-BBD7-CCE9431645EC}">
                        <a14:shadowObscured xmlns:a14="http://schemas.microsoft.com/office/drawing/2010/main"/>
                      </a:ext>
                    </a:extLst>
                  </pic:spPr>
                </pic:pic>
              </a:graphicData>
            </a:graphic>
          </wp:inline>
        </w:drawing>
      </w:r>
    </w:p>
    <w:p w14:paraId="366E18F9" w14:textId="26A0BAA9" w:rsidR="002E5C35" w:rsidRPr="005A25DE" w:rsidRDefault="002E5C35" w:rsidP="002E5C35">
      <w:pPr>
        <w:pStyle w:val="Caption"/>
        <w:rPr>
          <w:lang w:val="en-GB"/>
        </w:rPr>
      </w:pPr>
      <w:bookmarkStart w:id="30" w:name="_Toc144800899"/>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15</w:t>
      </w:r>
      <w:r w:rsidRPr="00794360">
        <w:rPr>
          <w:noProof/>
          <w:lang w:val="en-GB"/>
        </w:rPr>
        <w:fldChar w:fldCharType="end"/>
      </w:r>
      <w:r w:rsidRPr="00794360">
        <w:rPr>
          <w:lang w:val="en-GB"/>
        </w:rPr>
        <w:t xml:space="preserve">: </w:t>
      </w:r>
      <w:r w:rsidRPr="002E5C35">
        <w:rPr>
          <w:lang w:val="en-GB"/>
        </w:rPr>
        <w:t xml:space="preserve">Simulated Eutrophication Index (E.I) with Cyp-1fine sub-model, during spring (left) and summer (right) 2016, indicating environmental status (&lt;0.04 very good, 0.04 - 0.38 good, 0.38 - 0.85 moderate, 0.85 - 1.51 poor, &gt; 1.51 bad) in different scenario simulations: no fish farms (top row), existing fish farms (second row), existing fish </w:t>
      </w:r>
      <w:proofErr w:type="spellStart"/>
      <w:r w:rsidRPr="002E5C35">
        <w:rPr>
          <w:lang w:val="en-GB"/>
        </w:rPr>
        <w:t>farms+Governor’s</w:t>
      </w:r>
      <w:proofErr w:type="spellEnd"/>
      <w:r w:rsidRPr="002E5C35">
        <w:rPr>
          <w:lang w:val="en-GB"/>
        </w:rPr>
        <w:t xml:space="preserve"> </w:t>
      </w:r>
      <w:r w:rsidR="00330B55">
        <w:rPr>
          <w:lang w:val="en-GB"/>
        </w:rPr>
        <w:t>B</w:t>
      </w:r>
      <w:r w:rsidRPr="002E5C35">
        <w:rPr>
          <w:lang w:val="en-GB"/>
        </w:rPr>
        <w:t xml:space="preserve">each (5kt) and Larnaca (3kt) open sea farms (third row), existing fish </w:t>
      </w:r>
      <w:proofErr w:type="spellStart"/>
      <w:r w:rsidRPr="002E5C35">
        <w:rPr>
          <w:lang w:val="en-GB"/>
        </w:rPr>
        <w:t>farms+Governor’s</w:t>
      </w:r>
      <w:proofErr w:type="spellEnd"/>
      <w:r w:rsidRPr="002E5C35">
        <w:rPr>
          <w:lang w:val="en-GB"/>
        </w:rPr>
        <w:t xml:space="preserve"> </w:t>
      </w:r>
      <w:r w:rsidR="00330B55">
        <w:rPr>
          <w:lang w:val="en-GB"/>
        </w:rPr>
        <w:t>B</w:t>
      </w:r>
      <w:r w:rsidRPr="002E5C35">
        <w:rPr>
          <w:lang w:val="en-GB"/>
        </w:rPr>
        <w:t xml:space="preserve">each (2kt) and Larnaca (2kt) open sea farms (bottom raw) (see Table </w:t>
      </w:r>
      <w:r w:rsidR="005C6066">
        <w:rPr>
          <w:lang w:val="en-GB"/>
        </w:rPr>
        <w:t>3</w:t>
      </w:r>
      <w:r w:rsidRPr="002E5C35">
        <w:rPr>
          <w:lang w:val="en-GB"/>
        </w:rPr>
        <w:t>). Existing (red dots) and new (black dots) OS farms are indicated</w:t>
      </w:r>
      <w:r w:rsidRPr="00794360">
        <w:rPr>
          <w:lang w:val="en-GB"/>
        </w:rPr>
        <w:t>.</w:t>
      </w:r>
      <w:bookmarkEnd w:id="30"/>
      <w:r w:rsidRPr="00794360">
        <w:rPr>
          <w:lang w:val="en-GB"/>
        </w:rPr>
        <w:t xml:space="preserve"> </w:t>
      </w:r>
    </w:p>
    <w:p w14:paraId="153B4144" w14:textId="77777777" w:rsidR="00E7711F" w:rsidRDefault="00E7711F" w:rsidP="00E7711F">
      <w:pPr>
        <w:rPr>
          <w:lang w:val="en-GB"/>
        </w:rPr>
      </w:pPr>
    </w:p>
    <w:p w14:paraId="1D4385FA" w14:textId="77777777" w:rsidR="00E7711F" w:rsidRDefault="00E7711F" w:rsidP="00E7711F">
      <w:pPr>
        <w:rPr>
          <w:lang w:val="en-GB"/>
        </w:rPr>
      </w:pPr>
      <w:r>
        <w:rPr>
          <w:noProof/>
          <w:lang w:val="en-GB" w:eastAsia="en-GB"/>
        </w:rPr>
        <w:lastRenderedPageBreak/>
        <w:drawing>
          <wp:inline distT="0" distB="0" distL="0" distR="0" wp14:anchorId="73F5EE02" wp14:editId="3CB8BFA2">
            <wp:extent cx="5124450" cy="3729990"/>
            <wp:effectExtent l="0" t="0" r="0" b="381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rotWithShape="1">
                    <a:blip r:embed="rId43">
                      <a:extLst>
                        <a:ext uri="{28A0092B-C50C-407E-A947-70E740481C1C}">
                          <a14:useLocalDpi xmlns:a14="http://schemas.microsoft.com/office/drawing/2010/main" val="0"/>
                        </a:ext>
                      </a:extLst>
                    </a:blip>
                    <a:srcRect l="7276" r="3760"/>
                    <a:stretch/>
                  </pic:blipFill>
                  <pic:spPr bwMode="auto">
                    <a:xfrm>
                      <a:off x="0" y="0"/>
                      <a:ext cx="5124450" cy="3729990"/>
                    </a:xfrm>
                    <a:prstGeom prst="rect">
                      <a:avLst/>
                    </a:prstGeom>
                    <a:ln>
                      <a:noFill/>
                    </a:ln>
                    <a:extLst>
                      <a:ext uri="{53640926-AAD7-44D8-BBD7-CCE9431645EC}">
                        <a14:shadowObscured xmlns:a14="http://schemas.microsoft.com/office/drawing/2010/main"/>
                      </a:ext>
                    </a:extLst>
                  </pic:spPr>
                </pic:pic>
              </a:graphicData>
            </a:graphic>
          </wp:inline>
        </w:drawing>
      </w:r>
    </w:p>
    <w:p w14:paraId="785B67BD" w14:textId="78019988" w:rsidR="002E5C35" w:rsidRPr="005A25DE" w:rsidRDefault="002E5C35" w:rsidP="002E5C35">
      <w:pPr>
        <w:pStyle w:val="Caption"/>
        <w:rPr>
          <w:lang w:val="en-GB"/>
        </w:rPr>
      </w:pPr>
      <w:bookmarkStart w:id="31" w:name="_Toc144800900"/>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16</w:t>
      </w:r>
      <w:r w:rsidRPr="00794360">
        <w:rPr>
          <w:noProof/>
          <w:lang w:val="en-GB"/>
        </w:rPr>
        <w:fldChar w:fldCharType="end"/>
      </w:r>
      <w:r w:rsidRPr="00794360">
        <w:rPr>
          <w:lang w:val="en-GB"/>
        </w:rPr>
        <w:t xml:space="preserve">: </w:t>
      </w:r>
      <w:r w:rsidRPr="002E5C35">
        <w:rPr>
          <w:lang w:val="en-GB"/>
        </w:rPr>
        <w:t>Simulated seasonal mean near surface current velocity and phosphates (PO</w:t>
      </w:r>
      <w:r w:rsidRPr="00C06527">
        <w:rPr>
          <w:vertAlign w:val="subscript"/>
          <w:lang w:val="en-GB"/>
        </w:rPr>
        <w:t>4</w:t>
      </w:r>
      <w:r w:rsidRPr="002E5C35">
        <w:rPr>
          <w:lang w:val="en-GB"/>
        </w:rPr>
        <w:t>) fractional change (Sc2_fine/Ref0_fine-1) during 2016. The high impact scenario simulation (Sc2_fine) includes the impact from Xylofagou (5kt) and Larnaca (3kt) open sea aquaculture. The reference (Ref0_fine) simulation is without any fish farms. A fractional change=0.5 indicates an increase of +50%</w:t>
      </w:r>
      <w:r w:rsidRPr="00794360">
        <w:rPr>
          <w:lang w:val="en-GB"/>
        </w:rPr>
        <w:t>.</w:t>
      </w:r>
      <w:bookmarkEnd w:id="31"/>
      <w:r w:rsidRPr="00794360">
        <w:rPr>
          <w:lang w:val="en-GB"/>
        </w:rPr>
        <w:t xml:space="preserve"> </w:t>
      </w:r>
    </w:p>
    <w:p w14:paraId="13A692D3" w14:textId="77777777" w:rsidR="002E5C35" w:rsidRPr="002E5C35" w:rsidRDefault="002E5C35" w:rsidP="002E5C35">
      <w:pPr>
        <w:rPr>
          <w:lang w:val="en-GB"/>
        </w:rPr>
      </w:pPr>
    </w:p>
    <w:p w14:paraId="7F2068FD" w14:textId="77777777" w:rsidR="00E7711F" w:rsidRDefault="00E7711F" w:rsidP="00E7711F">
      <w:pPr>
        <w:rPr>
          <w:lang w:val="en-GB"/>
        </w:rPr>
      </w:pPr>
    </w:p>
    <w:p w14:paraId="1968BE7A" w14:textId="3A4D40D6" w:rsidR="00E7711F" w:rsidRPr="00E016F4" w:rsidRDefault="00E7711F" w:rsidP="00E7711F">
      <w:pPr>
        <w:pStyle w:val="BodyText"/>
        <w:ind w:firstLine="426"/>
        <w:jc w:val="both"/>
        <w:rPr>
          <w:rFonts w:ascii="Arial" w:hAnsi="Arial" w:cs="Arial"/>
        </w:rPr>
        <w:sectPr w:rsidR="00E7711F" w:rsidRPr="00E016F4" w:rsidSect="00F01806">
          <w:headerReference w:type="default" r:id="rId44"/>
          <w:footerReference w:type="default" r:id="rId45"/>
          <w:footerReference w:type="first" r:id="rId46"/>
          <w:pgSz w:w="11907" w:h="16840" w:code="9"/>
          <w:pgMar w:top="1418" w:right="1418" w:bottom="1418" w:left="1418" w:header="709" w:footer="709" w:gutter="0"/>
          <w:pgNumType w:start="0"/>
          <w:cols w:space="720"/>
          <w:titlePg/>
          <w:docGrid w:linePitch="360"/>
        </w:sectPr>
      </w:pPr>
      <w:r>
        <w:rPr>
          <w:rFonts w:ascii="Arial" w:hAnsi="Arial" w:cs="Arial"/>
        </w:rPr>
        <w:t xml:space="preserve">The simulated with the fine model (resolution ~100m) in Cyp-2 area seasonal mean relative increase of phosphates, resulting from new open sea fish farm at </w:t>
      </w:r>
      <w:proofErr w:type="spellStart"/>
      <w:r>
        <w:rPr>
          <w:rFonts w:ascii="Arial" w:hAnsi="Arial" w:cs="Arial"/>
        </w:rPr>
        <w:t>Xylofagou</w:t>
      </w:r>
      <w:proofErr w:type="spellEnd"/>
      <w:r>
        <w:rPr>
          <w:rFonts w:ascii="Arial" w:hAnsi="Arial" w:cs="Arial"/>
        </w:rPr>
        <w:t xml:space="preserve"> and </w:t>
      </w:r>
      <w:proofErr w:type="spellStart"/>
      <w:r>
        <w:rPr>
          <w:rFonts w:ascii="Arial" w:hAnsi="Arial" w:cs="Arial"/>
        </w:rPr>
        <w:t>Larnaka</w:t>
      </w:r>
      <w:proofErr w:type="spellEnd"/>
      <w:r>
        <w:rPr>
          <w:rFonts w:ascii="Arial" w:hAnsi="Arial" w:cs="Arial"/>
        </w:rPr>
        <w:t xml:space="preserve"> areas</w:t>
      </w:r>
      <w:r w:rsidR="00330B55">
        <w:rPr>
          <w:rFonts w:ascii="Arial" w:hAnsi="Arial" w:cs="Arial"/>
        </w:rPr>
        <w:t>,</w:t>
      </w:r>
      <w:r>
        <w:rPr>
          <w:rFonts w:ascii="Arial" w:hAnsi="Arial" w:cs="Arial"/>
        </w:rPr>
        <w:t xml:space="preserve"> is shown in Figure 16. As in Cyp-1 area, the effect from fish farms is relatively stronger during spring-summer period. Results with the fine model appear quite similar </w:t>
      </w:r>
      <w:r w:rsidR="00330B55">
        <w:rPr>
          <w:rFonts w:ascii="Arial" w:hAnsi="Arial" w:cs="Arial"/>
        </w:rPr>
        <w:t xml:space="preserve">to </w:t>
      </w:r>
      <w:r>
        <w:rPr>
          <w:rFonts w:ascii="Arial" w:hAnsi="Arial" w:cs="Arial"/>
        </w:rPr>
        <w:t xml:space="preserve">those simulated with the intermediate (~400m resolution) model (see D11), with the main noticeable difference being a slight decrease of phosphates fractional change in </w:t>
      </w:r>
      <w:proofErr w:type="spellStart"/>
      <w:r>
        <w:rPr>
          <w:rFonts w:ascii="Arial" w:hAnsi="Arial" w:cs="Arial"/>
        </w:rPr>
        <w:t>Larnaka</w:t>
      </w:r>
      <w:proofErr w:type="spellEnd"/>
      <w:r>
        <w:rPr>
          <w:rFonts w:ascii="Arial" w:hAnsi="Arial" w:cs="Arial"/>
        </w:rPr>
        <w:t xml:space="preserve"> bay during spring-summer period. The circulation in Larnaca bay is mostly anti-cyclonic, particularly in Xylofagou area, except during winter period, when a cyclonic eddy is formed under the influence of the offshore </w:t>
      </w:r>
      <w:r w:rsidRPr="778BF37A">
        <w:rPr>
          <w:rFonts w:ascii="Arial" w:hAnsi="Arial" w:cs="Arial"/>
        </w:rPr>
        <w:t>north</w:t>
      </w:r>
      <w:r>
        <w:rPr>
          <w:rFonts w:ascii="Arial" w:hAnsi="Arial" w:cs="Arial"/>
        </w:rPr>
        <w:t>-</w:t>
      </w:r>
      <w:r w:rsidRPr="778BF37A">
        <w:rPr>
          <w:rFonts w:ascii="Arial" w:hAnsi="Arial" w:cs="Arial"/>
        </w:rPr>
        <w:t xml:space="preserve">eastern </w:t>
      </w:r>
      <w:r>
        <w:rPr>
          <w:rFonts w:ascii="Arial" w:hAnsi="Arial" w:cs="Arial"/>
        </w:rPr>
        <w:t>current that is</w:t>
      </w:r>
      <w:r w:rsidRPr="778BF37A">
        <w:rPr>
          <w:rFonts w:ascii="Arial" w:hAnsi="Arial" w:cs="Arial"/>
        </w:rPr>
        <w:t xml:space="preserve"> par</w:t>
      </w:r>
      <w:r>
        <w:rPr>
          <w:rFonts w:ascii="Arial" w:hAnsi="Arial" w:cs="Arial"/>
        </w:rPr>
        <w:t>t</w:t>
      </w:r>
      <w:r w:rsidRPr="778BF37A">
        <w:rPr>
          <w:rFonts w:ascii="Arial" w:hAnsi="Arial" w:cs="Arial"/>
        </w:rPr>
        <w:t xml:space="preserve"> the dominant </w:t>
      </w:r>
      <w:r>
        <w:rPr>
          <w:rFonts w:ascii="Arial" w:hAnsi="Arial" w:cs="Arial"/>
        </w:rPr>
        <w:t xml:space="preserve">large-scale </w:t>
      </w:r>
      <w:r w:rsidRPr="778BF37A">
        <w:rPr>
          <w:rFonts w:ascii="Arial" w:hAnsi="Arial" w:cs="Arial"/>
        </w:rPr>
        <w:t>anti</w:t>
      </w:r>
      <w:r w:rsidR="00330B55">
        <w:rPr>
          <w:rFonts w:ascii="Arial" w:hAnsi="Arial" w:cs="Arial"/>
        </w:rPr>
        <w:t>-</w:t>
      </w:r>
      <w:r w:rsidRPr="778BF37A">
        <w:rPr>
          <w:rFonts w:ascii="Arial" w:hAnsi="Arial" w:cs="Arial"/>
        </w:rPr>
        <w:t>cyclonic circulation</w:t>
      </w:r>
      <w:r>
        <w:rPr>
          <w:rFonts w:ascii="Arial" w:hAnsi="Arial" w:cs="Arial"/>
        </w:rPr>
        <w:t xml:space="preserve">. Thus, effluents from Xylofagou open sea farm usually follow an eastward pathway, being occasionally redirected to the west inside </w:t>
      </w:r>
      <w:proofErr w:type="spellStart"/>
      <w:r>
        <w:rPr>
          <w:rFonts w:ascii="Arial" w:hAnsi="Arial" w:cs="Arial"/>
        </w:rPr>
        <w:t>Larnaka</w:t>
      </w:r>
      <w:proofErr w:type="spellEnd"/>
      <w:r>
        <w:rPr>
          <w:rFonts w:ascii="Arial" w:hAnsi="Arial" w:cs="Arial"/>
        </w:rPr>
        <w:t xml:space="preserve"> bay (e.g. during summer) by the anti</w:t>
      </w:r>
      <w:r w:rsidR="00330B55">
        <w:rPr>
          <w:rFonts w:ascii="Arial" w:hAnsi="Arial" w:cs="Arial"/>
        </w:rPr>
        <w:t>-</w:t>
      </w:r>
      <w:r>
        <w:rPr>
          <w:rFonts w:ascii="Arial" w:hAnsi="Arial" w:cs="Arial"/>
        </w:rPr>
        <w:t xml:space="preserve">cyclonic circulation pattern (Figure 16). Effluents from </w:t>
      </w:r>
      <w:proofErr w:type="spellStart"/>
      <w:r>
        <w:rPr>
          <w:rFonts w:ascii="Arial" w:hAnsi="Arial" w:cs="Arial"/>
        </w:rPr>
        <w:t>Larnaka</w:t>
      </w:r>
      <w:proofErr w:type="spellEnd"/>
      <w:r>
        <w:rPr>
          <w:rFonts w:ascii="Arial" w:hAnsi="Arial" w:cs="Arial"/>
        </w:rPr>
        <w:t xml:space="preserve"> open sea farm generally follow a south-westward pathway, but may be partly also directed to the north-east towards </w:t>
      </w:r>
      <w:proofErr w:type="spellStart"/>
      <w:r>
        <w:rPr>
          <w:rFonts w:ascii="Arial" w:hAnsi="Arial" w:cs="Arial"/>
        </w:rPr>
        <w:t>Larnaka</w:t>
      </w:r>
      <w:proofErr w:type="spellEnd"/>
      <w:r>
        <w:rPr>
          <w:rFonts w:ascii="Arial" w:hAnsi="Arial" w:cs="Arial"/>
        </w:rPr>
        <w:t xml:space="preserve"> </w:t>
      </w:r>
      <w:r w:rsidR="00330B55">
        <w:rPr>
          <w:rFonts w:ascii="Arial" w:hAnsi="Arial" w:cs="Arial"/>
        </w:rPr>
        <w:t xml:space="preserve">Bay </w:t>
      </w:r>
      <w:r>
        <w:rPr>
          <w:rFonts w:ascii="Arial" w:hAnsi="Arial" w:cs="Arial"/>
        </w:rPr>
        <w:t xml:space="preserve">following the anti-cyclonic circulation (e.g. spring).  </w:t>
      </w:r>
    </w:p>
    <w:p w14:paraId="62601EDE" w14:textId="77777777" w:rsidR="00E7711F" w:rsidRDefault="00E7711F" w:rsidP="00E7711F">
      <w:pPr>
        <w:pStyle w:val="BodyText"/>
        <w:jc w:val="both"/>
        <w:rPr>
          <w:rFonts w:ascii="Arial" w:hAnsi="Arial" w:cs="Arial"/>
        </w:rPr>
      </w:pPr>
    </w:p>
    <w:p w14:paraId="1C8D0E9B" w14:textId="77777777" w:rsidR="00E7711F" w:rsidRDefault="00E7711F" w:rsidP="00E7711F">
      <w:pPr>
        <w:pStyle w:val="Caption"/>
        <w:rPr>
          <w:lang w:val="en-GB"/>
        </w:rPr>
      </w:pPr>
      <w:bookmarkStart w:id="32" w:name="_Toc90658083"/>
    </w:p>
    <w:bookmarkEnd w:id="32"/>
    <w:p w14:paraId="6A760F9F" w14:textId="77777777" w:rsidR="00E7711F" w:rsidRPr="008B0062" w:rsidRDefault="00E7711F" w:rsidP="00E7711F">
      <w:pPr>
        <w:rPr>
          <w:b/>
          <w:bCs/>
          <w:lang w:val="en-GB"/>
        </w:rPr>
      </w:pPr>
    </w:p>
    <w:p w14:paraId="4E423342" w14:textId="77777777" w:rsidR="00E7711F" w:rsidRDefault="00E7711F" w:rsidP="00E7711F">
      <w:pPr>
        <w:rPr>
          <w:b/>
          <w:bCs/>
          <w:sz w:val="28"/>
          <w:szCs w:val="28"/>
        </w:rPr>
      </w:pPr>
      <w:r>
        <w:rPr>
          <w:b/>
          <w:bCs/>
          <w:noProof/>
          <w:sz w:val="28"/>
          <w:szCs w:val="28"/>
          <w:lang w:val="en-GB" w:eastAsia="en-GB"/>
        </w:rPr>
        <w:drawing>
          <wp:inline distT="0" distB="0" distL="0" distR="0" wp14:anchorId="169C7BE7" wp14:editId="0C49FC6D">
            <wp:extent cx="2487295" cy="5722425"/>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47">
                      <a:extLst>
                        <a:ext uri="{28A0092B-C50C-407E-A947-70E740481C1C}">
                          <a14:useLocalDpi xmlns:a14="http://schemas.microsoft.com/office/drawing/2010/main" val="0"/>
                        </a:ext>
                      </a:extLst>
                    </a:blip>
                    <a:srcRect l="25464" t="3043" r="24873" b="8584"/>
                    <a:stretch/>
                  </pic:blipFill>
                  <pic:spPr bwMode="auto">
                    <a:xfrm>
                      <a:off x="0" y="0"/>
                      <a:ext cx="2502659" cy="5757773"/>
                    </a:xfrm>
                    <a:prstGeom prst="rect">
                      <a:avLst/>
                    </a:prstGeom>
                    <a:ln>
                      <a:noFill/>
                    </a:ln>
                    <a:extLst>
                      <a:ext uri="{53640926-AAD7-44D8-BBD7-CCE9431645EC}">
                        <a14:shadowObscured xmlns:a14="http://schemas.microsoft.com/office/drawing/2010/main"/>
                      </a:ext>
                    </a:extLst>
                  </pic:spPr>
                </pic:pic>
              </a:graphicData>
            </a:graphic>
          </wp:inline>
        </w:drawing>
      </w:r>
      <w:r>
        <w:rPr>
          <w:b/>
          <w:bCs/>
          <w:noProof/>
          <w:sz w:val="28"/>
          <w:szCs w:val="28"/>
          <w:lang w:val="en-GB" w:eastAsia="en-GB"/>
        </w:rPr>
        <w:drawing>
          <wp:inline distT="0" distB="0" distL="0" distR="0" wp14:anchorId="0D659B39" wp14:editId="0E0080F9">
            <wp:extent cx="2626878" cy="5694680"/>
            <wp:effectExtent l="0" t="0" r="254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48">
                      <a:extLst>
                        <a:ext uri="{28A0092B-C50C-407E-A947-70E740481C1C}">
                          <a14:useLocalDpi xmlns:a14="http://schemas.microsoft.com/office/drawing/2010/main" val="0"/>
                        </a:ext>
                      </a:extLst>
                    </a:blip>
                    <a:srcRect l="25464" t="3737" r="21803" b="8507"/>
                    <a:stretch/>
                  </pic:blipFill>
                  <pic:spPr bwMode="auto">
                    <a:xfrm>
                      <a:off x="0" y="0"/>
                      <a:ext cx="2645449" cy="5734938"/>
                    </a:xfrm>
                    <a:prstGeom prst="rect">
                      <a:avLst/>
                    </a:prstGeom>
                    <a:ln>
                      <a:noFill/>
                    </a:ln>
                    <a:extLst>
                      <a:ext uri="{53640926-AAD7-44D8-BBD7-CCE9431645EC}">
                        <a14:shadowObscured xmlns:a14="http://schemas.microsoft.com/office/drawing/2010/main"/>
                      </a:ext>
                    </a:extLst>
                  </pic:spPr>
                </pic:pic>
              </a:graphicData>
            </a:graphic>
          </wp:inline>
        </w:drawing>
      </w:r>
    </w:p>
    <w:p w14:paraId="644E5C43" w14:textId="1E9056E3" w:rsidR="002E5C35" w:rsidRPr="005A25DE" w:rsidRDefault="002E5C35" w:rsidP="002E5C35">
      <w:pPr>
        <w:pStyle w:val="Caption"/>
        <w:rPr>
          <w:lang w:val="en-GB"/>
        </w:rPr>
      </w:pPr>
      <w:bookmarkStart w:id="33" w:name="_Toc144800901"/>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17</w:t>
      </w:r>
      <w:r w:rsidRPr="00794360">
        <w:rPr>
          <w:noProof/>
          <w:lang w:val="en-GB"/>
        </w:rPr>
        <w:fldChar w:fldCharType="end"/>
      </w:r>
      <w:r w:rsidRPr="00794360">
        <w:rPr>
          <w:lang w:val="en-GB"/>
        </w:rPr>
        <w:t xml:space="preserve">: </w:t>
      </w:r>
      <w:r w:rsidRPr="002E5C35">
        <w:rPr>
          <w:lang w:val="en-GB"/>
        </w:rPr>
        <w:t xml:space="preserve">Simulated Eutrophication Index (E.I) with Cyp-2fine sub-model, during spring (left) and summer (right) 2016, indicating environmental status (&lt;0.04 very good, 0.04 - 0.38 good, 0.38 - 0.85 moderate, 0.85 - 1.51 poor, &gt; 1.51 bad) in different scenario simulations: no fish farms (top row), Xylofagou (2kt) and Larnaca (2kt) open sea farms (middle row), Xylofagou (5kt) and Larnaca (3kt) open sea farms (bottom row) (see Table </w:t>
      </w:r>
      <w:r w:rsidR="005C6066">
        <w:rPr>
          <w:lang w:val="en-GB"/>
        </w:rPr>
        <w:t>3</w:t>
      </w:r>
      <w:r w:rsidRPr="002E5C35">
        <w:rPr>
          <w:lang w:val="en-GB"/>
        </w:rPr>
        <w:t>). New (black dots) OS farms are indicated</w:t>
      </w:r>
      <w:r w:rsidRPr="00794360">
        <w:rPr>
          <w:lang w:val="en-GB"/>
        </w:rPr>
        <w:t>.</w:t>
      </w:r>
      <w:bookmarkEnd w:id="33"/>
      <w:r w:rsidRPr="00794360">
        <w:rPr>
          <w:lang w:val="en-GB"/>
        </w:rPr>
        <w:t xml:space="preserve"> </w:t>
      </w:r>
    </w:p>
    <w:p w14:paraId="3134D690" w14:textId="77777777" w:rsidR="00E7711F" w:rsidRPr="00D2422A" w:rsidRDefault="00E7711F" w:rsidP="00E7711F">
      <w:pPr>
        <w:rPr>
          <w:lang w:val="en-GB"/>
        </w:rPr>
      </w:pPr>
    </w:p>
    <w:p w14:paraId="53183119" w14:textId="27E4D985" w:rsidR="00E7711F" w:rsidRPr="00BB62A1" w:rsidRDefault="00E7711F" w:rsidP="00E7711F">
      <w:pPr>
        <w:ind w:firstLine="426"/>
        <w:rPr>
          <w:rFonts w:cs="Arial"/>
          <w:szCs w:val="24"/>
        </w:rPr>
      </w:pPr>
      <w:r w:rsidRPr="00BB62A1">
        <w:rPr>
          <w:rFonts w:cs="Arial"/>
          <w:szCs w:val="24"/>
        </w:rPr>
        <w:t xml:space="preserve">In Figure 17, the eutrophication index (E.I.), simulated with the fine model in Cyp-2 area is shown for different scenario simulations (see Table </w:t>
      </w:r>
      <w:r w:rsidR="005C6066">
        <w:rPr>
          <w:rFonts w:cs="Arial"/>
          <w:szCs w:val="24"/>
        </w:rPr>
        <w:t>3</w:t>
      </w:r>
      <w:r w:rsidRPr="00BB62A1">
        <w:rPr>
          <w:rFonts w:cs="Arial"/>
          <w:szCs w:val="24"/>
        </w:rPr>
        <w:t xml:space="preserve">) during spring and summer 2016, the periods with relatively stronger impact from aquaculture. During spring, the E.I. indicates good to moderate environmental conditions even in the vicinity of the fish farms, suggesting that aquaculture wastes are effectively dispersed by ocean currents. The E.I. near Larnaca open aquaculture area appears slightly higher, </w:t>
      </w:r>
      <w:r w:rsidRPr="00BB62A1">
        <w:rPr>
          <w:rFonts w:cs="Arial"/>
          <w:szCs w:val="24"/>
        </w:rPr>
        <w:lastRenderedPageBreak/>
        <w:t xml:space="preserve">as compared to Xylofagou area and also as compared with the intermediate model resolution simulation (see Figure 7). This might be related to the relatively shallower depth in the southwestern coastal area, being better resolved with the fine model and thus resulting in slightly higher plankton productivity. One may notice the relatively higher E.I. in this area also in the simulation without any fish farms (Figure 17, </w:t>
      </w:r>
      <w:proofErr w:type="spellStart"/>
      <w:r w:rsidRPr="00BB62A1">
        <w:rPr>
          <w:rFonts w:cs="Arial"/>
          <w:szCs w:val="24"/>
        </w:rPr>
        <w:t>NoFish</w:t>
      </w:r>
      <w:proofErr w:type="spellEnd"/>
      <w:r w:rsidRPr="00BB62A1">
        <w:rPr>
          <w:rFonts w:cs="Arial"/>
          <w:szCs w:val="24"/>
        </w:rPr>
        <w:t xml:space="preserve">). During summer, the E.I. indicates “good” conditions in the entire area, as the increased stratification results in an overall decrease of dissolved inorganic nutrients and plankton productivity. </w:t>
      </w:r>
    </w:p>
    <w:p w14:paraId="62205D4D" w14:textId="65A7FFE3" w:rsidR="00E7711F" w:rsidRPr="00BB62A1" w:rsidRDefault="00E7711F" w:rsidP="00E7711F">
      <w:pPr>
        <w:ind w:firstLine="426"/>
        <w:rPr>
          <w:rFonts w:cs="Arial"/>
          <w:szCs w:val="24"/>
        </w:rPr>
      </w:pPr>
      <w:r w:rsidRPr="00BB62A1">
        <w:rPr>
          <w:rFonts w:cs="Arial"/>
          <w:szCs w:val="24"/>
        </w:rPr>
        <w:t xml:space="preserve">In Figure 18, the E.I. value in the vicinity of different aquaculture areas is shown for different scenarios, along with the mean current speed, SST and </w:t>
      </w:r>
      <w:proofErr w:type="spellStart"/>
      <w:r w:rsidRPr="00BB62A1">
        <w:rPr>
          <w:rFonts w:cs="Arial"/>
          <w:szCs w:val="24"/>
        </w:rPr>
        <w:t>Chl</w:t>
      </w:r>
      <w:proofErr w:type="spellEnd"/>
      <w:r w:rsidRPr="00BB62A1">
        <w:rPr>
          <w:rFonts w:cs="Arial"/>
          <w:szCs w:val="24"/>
        </w:rPr>
        <w:t xml:space="preserve">-a. During spring, Xylofagou and Larnaca sites present relatively weaker currents, which may explain the slightly higher E.I. values, as compared to Governor’s </w:t>
      </w:r>
      <w:r w:rsidR="00330B55">
        <w:rPr>
          <w:rFonts w:cs="Arial"/>
          <w:szCs w:val="24"/>
        </w:rPr>
        <w:t>B</w:t>
      </w:r>
      <w:r w:rsidR="00330B55" w:rsidRPr="00BB62A1">
        <w:rPr>
          <w:rFonts w:cs="Arial"/>
          <w:szCs w:val="24"/>
        </w:rPr>
        <w:t>each</w:t>
      </w:r>
      <w:r w:rsidRPr="00BB62A1">
        <w:rPr>
          <w:rFonts w:cs="Arial"/>
          <w:szCs w:val="24"/>
        </w:rPr>
        <w:t>. The E.I. is slightly higher in Larna</w:t>
      </w:r>
      <w:r w:rsidR="00BB48D7">
        <w:rPr>
          <w:rFonts w:cs="Arial"/>
          <w:szCs w:val="24"/>
        </w:rPr>
        <w:t>c</w:t>
      </w:r>
      <w:r w:rsidRPr="00BB62A1">
        <w:rPr>
          <w:rFonts w:cs="Arial"/>
          <w:szCs w:val="24"/>
        </w:rPr>
        <w:t xml:space="preserve">a site, which may be due to the shallower depth in nearby coastal areas, resulting in relatively higher </w:t>
      </w:r>
      <w:proofErr w:type="spellStart"/>
      <w:r w:rsidRPr="00BB62A1">
        <w:rPr>
          <w:rFonts w:cs="Arial"/>
          <w:szCs w:val="24"/>
        </w:rPr>
        <w:t>Chl</w:t>
      </w:r>
      <w:proofErr w:type="spellEnd"/>
      <w:r w:rsidRPr="00BB62A1">
        <w:rPr>
          <w:rFonts w:cs="Arial"/>
          <w:szCs w:val="24"/>
        </w:rPr>
        <w:t xml:space="preserve">-a, as mentioned above. One may also notice the relatively lower E.I. values in both Xylofagou and Governor’s </w:t>
      </w:r>
      <w:r w:rsidR="00330B55">
        <w:rPr>
          <w:rFonts w:cs="Arial"/>
          <w:szCs w:val="24"/>
        </w:rPr>
        <w:t>B</w:t>
      </w:r>
      <w:r w:rsidR="00330B55" w:rsidRPr="00BB62A1">
        <w:rPr>
          <w:rFonts w:cs="Arial"/>
          <w:szCs w:val="24"/>
        </w:rPr>
        <w:t xml:space="preserve">each </w:t>
      </w:r>
      <w:r w:rsidRPr="00BB62A1">
        <w:rPr>
          <w:rFonts w:cs="Arial"/>
          <w:szCs w:val="24"/>
        </w:rPr>
        <w:t xml:space="preserve">open sea farms, as compared to the existing coastal fish farms in Cyp-1. During summer, a decreased E.I. is found in all fish farm areas, as the increased stratification results in the decrease of plankton productivity, indicated by the significant decrease of </w:t>
      </w:r>
      <w:proofErr w:type="spellStart"/>
      <w:r w:rsidRPr="00BB62A1">
        <w:rPr>
          <w:rFonts w:cs="Arial"/>
          <w:szCs w:val="24"/>
        </w:rPr>
        <w:t>Chl</w:t>
      </w:r>
      <w:proofErr w:type="spellEnd"/>
      <w:r w:rsidRPr="00BB62A1">
        <w:rPr>
          <w:rFonts w:cs="Arial"/>
          <w:szCs w:val="24"/>
        </w:rPr>
        <w:t xml:space="preserve">-a. </w:t>
      </w:r>
    </w:p>
    <w:p w14:paraId="0EA84F48" w14:textId="77777777" w:rsidR="00E7711F" w:rsidRDefault="00E7711F" w:rsidP="00E7711F">
      <w:pPr>
        <w:ind w:firstLine="426"/>
        <w:rPr>
          <w:rFonts w:cs="Arial"/>
        </w:rPr>
      </w:pPr>
    </w:p>
    <w:p w14:paraId="69F63DBE" w14:textId="77777777" w:rsidR="00E7711F" w:rsidRDefault="00E7711F" w:rsidP="00E7711F">
      <w:pPr>
        <w:rPr>
          <w:rFonts w:cs="Arial"/>
        </w:rPr>
      </w:pPr>
      <w:r>
        <w:rPr>
          <w:rFonts w:cs="Arial"/>
          <w:noProof/>
          <w:lang w:val="en-GB" w:eastAsia="en-GB"/>
        </w:rPr>
        <w:drawing>
          <wp:inline distT="0" distB="0" distL="0" distR="0" wp14:anchorId="44608AD4" wp14:editId="46BAAD99">
            <wp:extent cx="2578100" cy="3211514"/>
            <wp:effectExtent l="0" t="0" r="0" b="82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rotWithShape="1">
                    <a:blip r:embed="rId49">
                      <a:extLst>
                        <a:ext uri="{28A0092B-C50C-407E-A947-70E740481C1C}">
                          <a14:useLocalDpi xmlns:a14="http://schemas.microsoft.com/office/drawing/2010/main" val="0"/>
                        </a:ext>
                      </a:extLst>
                    </a:blip>
                    <a:srcRect l="7946" t="5347" r="8259" b="5501"/>
                    <a:stretch/>
                  </pic:blipFill>
                  <pic:spPr bwMode="auto">
                    <a:xfrm>
                      <a:off x="0" y="0"/>
                      <a:ext cx="2618768" cy="3262174"/>
                    </a:xfrm>
                    <a:prstGeom prst="rect">
                      <a:avLst/>
                    </a:prstGeom>
                    <a:ln>
                      <a:noFill/>
                    </a:ln>
                    <a:extLst>
                      <a:ext uri="{53640926-AAD7-44D8-BBD7-CCE9431645EC}">
                        <a14:shadowObscured xmlns:a14="http://schemas.microsoft.com/office/drawing/2010/main"/>
                      </a:ext>
                    </a:extLst>
                  </pic:spPr>
                </pic:pic>
              </a:graphicData>
            </a:graphic>
          </wp:inline>
        </w:drawing>
      </w:r>
      <w:r>
        <w:rPr>
          <w:rFonts w:cs="Arial"/>
          <w:noProof/>
          <w:lang w:val="en-GB" w:eastAsia="en-GB"/>
        </w:rPr>
        <w:drawing>
          <wp:inline distT="0" distB="0" distL="0" distR="0" wp14:anchorId="02A2A479" wp14:editId="348C59EC">
            <wp:extent cx="2603617" cy="3235926"/>
            <wp:effectExtent l="0" t="0" r="635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rotWithShape="1">
                    <a:blip r:embed="rId50">
                      <a:extLst>
                        <a:ext uri="{28A0092B-C50C-407E-A947-70E740481C1C}">
                          <a14:useLocalDpi xmlns:a14="http://schemas.microsoft.com/office/drawing/2010/main" val="0"/>
                        </a:ext>
                      </a:extLst>
                    </a:blip>
                    <a:srcRect l="7344" t="4930" r="8379" b="5711"/>
                    <a:stretch/>
                  </pic:blipFill>
                  <pic:spPr bwMode="auto">
                    <a:xfrm>
                      <a:off x="0" y="0"/>
                      <a:ext cx="2630520" cy="3269363"/>
                    </a:xfrm>
                    <a:prstGeom prst="rect">
                      <a:avLst/>
                    </a:prstGeom>
                    <a:ln>
                      <a:noFill/>
                    </a:ln>
                    <a:extLst>
                      <a:ext uri="{53640926-AAD7-44D8-BBD7-CCE9431645EC}">
                        <a14:shadowObscured xmlns:a14="http://schemas.microsoft.com/office/drawing/2010/main"/>
                      </a:ext>
                    </a:extLst>
                  </pic:spPr>
                </pic:pic>
              </a:graphicData>
            </a:graphic>
          </wp:inline>
        </w:drawing>
      </w:r>
    </w:p>
    <w:p w14:paraId="01CBDEE4" w14:textId="7EF6D713" w:rsidR="002E5C35" w:rsidRPr="005A25DE" w:rsidRDefault="002E5C35" w:rsidP="002E5C35">
      <w:pPr>
        <w:pStyle w:val="Caption"/>
        <w:rPr>
          <w:lang w:val="en-GB"/>
        </w:rPr>
      </w:pPr>
      <w:bookmarkStart w:id="34" w:name="_Toc144800902"/>
      <w:r w:rsidRPr="00794360">
        <w:rPr>
          <w:lang w:val="en-GB"/>
        </w:rPr>
        <w:t xml:space="preserve">Figure </w:t>
      </w:r>
      <w:r w:rsidRPr="00794360">
        <w:rPr>
          <w:noProof/>
          <w:lang w:val="en-GB"/>
        </w:rPr>
        <w:fldChar w:fldCharType="begin"/>
      </w:r>
      <w:r w:rsidRPr="00794360">
        <w:rPr>
          <w:noProof/>
          <w:lang w:val="en-GB"/>
        </w:rPr>
        <w:instrText xml:space="preserve"> SEQ Figure \* ARABIC </w:instrText>
      </w:r>
      <w:r w:rsidRPr="00794360">
        <w:rPr>
          <w:noProof/>
          <w:lang w:val="en-GB"/>
        </w:rPr>
        <w:fldChar w:fldCharType="separate"/>
      </w:r>
      <w:r>
        <w:rPr>
          <w:noProof/>
          <w:lang w:val="en-GB"/>
        </w:rPr>
        <w:t>18</w:t>
      </w:r>
      <w:r w:rsidRPr="00794360">
        <w:rPr>
          <w:noProof/>
          <w:lang w:val="en-GB"/>
        </w:rPr>
        <w:fldChar w:fldCharType="end"/>
      </w:r>
      <w:r w:rsidRPr="00794360">
        <w:rPr>
          <w:lang w:val="en-GB"/>
        </w:rPr>
        <w:t xml:space="preserve">: </w:t>
      </w:r>
      <w:r w:rsidRPr="002E5C35">
        <w:rPr>
          <w:lang w:val="en-GB"/>
        </w:rPr>
        <w:t>Simulated current speed (m/s, first row), SST (</w:t>
      </w:r>
      <w:proofErr w:type="spellStart"/>
      <w:r w:rsidRPr="002E5C35">
        <w:rPr>
          <w:lang w:val="en-GB"/>
        </w:rPr>
        <w:t>oC</w:t>
      </w:r>
      <w:proofErr w:type="spellEnd"/>
      <w:r w:rsidRPr="002E5C35">
        <w:rPr>
          <w:lang w:val="en-GB"/>
        </w:rPr>
        <w:t xml:space="preserve">, second row),  </w:t>
      </w:r>
      <w:proofErr w:type="spellStart"/>
      <w:r w:rsidRPr="002E5C35">
        <w:rPr>
          <w:lang w:val="en-GB"/>
        </w:rPr>
        <w:t>Chl</w:t>
      </w:r>
      <w:proofErr w:type="spellEnd"/>
      <w:r w:rsidRPr="002E5C35">
        <w:rPr>
          <w:lang w:val="en-GB"/>
        </w:rPr>
        <w:t>-a (mg/m</w:t>
      </w:r>
      <w:r w:rsidRPr="00BB48D7">
        <w:rPr>
          <w:vertAlign w:val="superscript"/>
          <w:lang w:val="en-GB"/>
        </w:rPr>
        <w:t>3</w:t>
      </w:r>
      <w:r w:rsidRPr="002E5C35">
        <w:rPr>
          <w:lang w:val="en-GB"/>
        </w:rPr>
        <w:t>, third row) and Eutrophication Index (E.I. forth row), indicating environmental status (&lt;0.04 very good, 0.04 - 0.38 good, 0.38 - 0.85 moderate, 0.85 - 1.51 poor, &gt; 1.51 bad) in the vicinity of fish farms for different scenario simulations: (</w:t>
      </w:r>
      <w:proofErr w:type="spellStart"/>
      <w:r w:rsidRPr="002E5C35">
        <w:rPr>
          <w:lang w:val="en-GB"/>
        </w:rPr>
        <w:t>Ref_fine</w:t>
      </w:r>
      <w:proofErr w:type="spellEnd"/>
      <w:r w:rsidRPr="002E5C35">
        <w:rPr>
          <w:lang w:val="en-GB"/>
        </w:rPr>
        <w:t xml:space="preserve">, Sc1_fine, Sc2_fine, see Table </w:t>
      </w:r>
      <w:r w:rsidR="005C6066">
        <w:rPr>
          <w:lang w:val="en-GB"/>
        </w:rPr>
        <w:t>3</w:t>
      </w:r>
      <w:r w:rsidRPr="002E5C35">
        <w:rPr>
          <w:lang w:val="en-GB"/>
        </w:rPr>
        <w:t>), during spring (left) and summer (right) 2016</w:t>
      </w:r>
      <w:r w:rsidRPr="00794360">
        <w:rPr>
          <w:lang w:val="en-GB"/>
        </w:rPr>
        <w:t>.</w:t>
      </w:r>
      <w:bookmarkEnd w:id="34"/>
      <w:r w:rsidRPr="00794360">
        <w:rPr>
          <w:lang w:val="en-GB"/>
        </w:rPr>
        <w:t xml:space="preserve"> </w:t>
      </w:r>
    </w:p>
    <w:p w14:paraId="319D7CDC" w14:textId="77777777" w:rsidR="002E5C35" w:rsidRPr="002E5C35" w:rsidRDefault="002E5C35" w:rsidP="002E5C35">
      <w:pPr>
        <w:rPr>
          <w:lang w:val="en-GB"/>
        </w:rPr>
      </w:pPr>
    </w:p>
    <w:p w14:paraId="1F08B8F0" w14:textId="77777777" w:rsidR="00E7711F" w:rsidRPr="00CD7C42" w:rsidRDefault="00E7711F" w:rsidP="00E7711F">
      <w:pPr>
        <w:pStyle w:val="Heading3"/>
        <w:numPr>
          <w:ilvl w:val="2"/>
          <w:numId w:val="40"/>
        </w:numPr>
        <w:rPr>
          <w:highlight w:val="white"/>
          <w:lang w:val="en-GB"/>
        </w:rPr>
      </w:pPr>
      <w:bookmarkStart w:id="35" w:name="_Toc145304817"/>
      <w:r>
        <w:rPr>
          <w:highlight w:val="white"/>
          <w:lang w:val="en-GB"/>
        </w:rPr>
        <w:lastRenderedPageBreak/>
        <w:t>Conclusions</w:t>
      </w:r>
      <w:bookmarkEnd w:id="35"/>
      <w:r w:rsidRPr="00794360">
        <w:rPr>
          <w:highlight w:val="white"/>
          <w:lang w:val="en-GB"/>
        </w:rPr>
        <w:t xml:space="preserve"> </w:t>
      </w:r>
    </w:p>
    <w:p w14:paraId="2CAB9240" w14:textId="78365682" w:rsidR="00E7711F" w:rsidRDefault="00E7711F" w:rsidP="00E7711F">
      <w:pPr>
        <w:pStyle w:val="BodyText"/>
        <w:jc w:val="both"/>
        <w:rPr>
          <w:rFonts w:ascii="Arial" w:hAnsi="Arial" w:cs="Arial"/>
        </w:rPr>
      </w:pPr>
      <w:r w:rsidRPr="00BB62A1">
        <w:rPr>
          <w:rFonts w:ascii="Arial" w:hAnsi="Arial" w:cs="Arial"/>
          <w:lang w:val="en-US"/>
        </w:rPr>
        <w:t xml:space="preserve">Fine model scenario simulations indicate that the environmental impact of open sea aquaculture at Governor’s </w:t>
      </w:r>
      <w:r w:rsidR="00330B55">
        <w:rPr>
          <w:rFonts w:ascii="Arial" w:hAnsi="Arial" w:cs="Arial"/>
          <w:lang w:val="en-US"/>
        </w:rPr>
        <w:t>B</w:t>
      </w:r>
      <w:r w:rsidR="00330B55" w:rsidRPr="00BB62A1">
        <w:rPr>
          <w:rFonts w:ascii="Arial" w:hAnsi="Arial" w:cs="Arial"/>
          <w:lang w:val="en-US"/>
        </w:rPr>
        <w:t xml:space="preserve">each </w:t>
      </w:r>
      <w:r w:rsidRPr="00BB62A1">
        <w:rPr>
          <w:rFonts w:ascii="Arial" w:hAnsi="Arial" w:cs="Arial"/>
          <w:lang w:val="en-US"/>
        </w:rPr>
        <w:t xml:space="preserve">area </w:t>
      </w:r>
      <w:r>
        <w:rPr>
          <w:rFonts w:ascii="Arial" w:hAnsi="Arial" w:cs="Arial"/>
          <w:lang w:val="en-US"/>
        </w:rPr>
        <w:t xml:space="preserve">appears slightly weaker, as compared to </w:t>
      </w:r>
      <w:r w:rsidRPr="00BB62A1">
        <w:rPr>
          <w:rFonts w:ascii="Arial" w:hAnsi="Arial" w:cs="Arial"/>
          <w:lang w:val="en-US"/>
        </w:rPr>
        <w:t>Xylofagou and particularly Larnaca sites</w:t>
      </w:r>
      <w:r>
        <w:rPr>
          <w:rFonts w:ascii="Arial" w:hAnsi="Arial" w:cs="Arial"/>
          <w:lang w:val="en-US"/>
        </w:rPr>
        <w:t xml:space="preserve"> that show a moderate impact during spring period (not during the summer). </w:t>
      </w:r>
      <w:r w:rsidRPr="00BB62A1">
        <w:rPr>
          <w:rFonts w:ascii="Arial" w:hAnsi="Arial" w:cs="Arial"/>
          <w:lang w:val="en-US"/>
        </w:rPr>
        <w:t xml:space="preserve">This may be attributed to the relatively weaker currents and the anti-cyclonic pattern in the more enclosed Larnaca </w:t>
      </w:r>
      <w:r w:rsidR="00330B55">
        <w:rPr>
          <w:rFonts w:ascii="Arial" w:hAnsi="Arial" w:cs="Arial"/>
          <w:lang w:val="en-US"/>
        </w:rPr>
        <w:t>B</w:t>
      </w:r>
      <w:r w:rsidR="00330B55" w:rsidRPr="00BB62A1">
        <w:rPr>
          <w:rFonts w:ascii="Arial" w:hAnsi="Arial" w:cs="Arial"/>
          <w:lang w:val="en-US"/>
        </w:rPr>
        <w:t>ay</w:t>
      </w:r>
      <w:r w:rsidRPr="00BB62A1">
        <w:rPr>
          <w:rFonts w:ascii="Arial" w:hAnsi="Arial" w:cs="Arial"/>
          <w:lang w:val="en-US"/>
        </w:rPr>
        <w:t xml:space="preserve">. </w:t>
      </w:r>
      <w:r>
        <w:rPr>
          <w:rFonts w:ascii="Arial" w:hAnsi="Arial" w:cs="Arial"/>
          <w:lang w:val="en-US"/>
        </w:rPr>
        <w:t>I</w:t>
      </w:r>
      <w:r w:rsidRPr="00BB62A1">
        <w:rPr>
          <w:rFonts w:ascii="Arial" w:hAnsi="Arial" w:cs="Arial"/>
          <w:lang w:val="en-US"/>
        </w:rPr>
        <w:t xml:space="preserve">ntermediate resolution model simulations </w:t>
      </w:r>
      <w:r>
        <w:rPr>
          <w:rFonts w:ascii="Arial" w:hAnsi="Arial" w:cs="Arial"/>
          <w:lang w:val="en-US"/>
        </w:rPr>
        <w:t xml:space="preserve">over 2016-2018 period </w:t>
      </w:r>
      <w:r w:rsidRPr="00BB62A1">
        <w:rPr>
          <w:rFonts w:ascii="Arial" w:hAnsi="Arial" w:cs="Arial"/>
          <w:lang w:val="en-US"/>
        </w:rPr>
        <w:t>indicated a</w:t>
      </w:r>
      <w:r>
        <w:rPr>
          <w:rFonts w:ascii="Arial" w:hAnsi="Arial" w:cs="Arial"/>
          <w:lang w:val="en-US"/>
        </w:rPr>
        <w:t>n important</w:t>
      </w:r>
      <w:r w:rsidRPr="00BB62A1">
        <w:rPr>
          <w:rFonts w:ascii="Arial" w:hAnsi="Arial" w:cs="Arial"/>
          <w:lang w:val="en-US"/>
        </w:rPr>
        <w:t xml:space="preserve"> inter-annual variability </w:t>
      </w:r>
      <w:r>
        <w:rPr>
          <w:rFonts w:ascii="Arial" w:hAnsi="Arial" w:cs="Arial"/>
          <w:lang w:val="en-US"/>
        </w:rPr>
        <w:t>of the eutrophication index, being higher</w:t>
      </w:r>
      <w:r w:rsidRPr="00955A7A">
        <w:rPr>
          <w:rFonts w:ascii="Arial" w:hAnsi="Arial" w:cs="Arial"/>
          <w:lang w:val="en-US"/>
        </w:rPr>
        <w:t xml:space="preserve"> </w:t>
      </w:r>
      <w:r>
        <w:rPr>
          <w:rFonts w:ascii="Arial" w:hAnsi="Arial" w:cs="Arial"/>
          <w:lang w:val="en-US"/>
        </w:rPr>
        <w:t xml:space="preserve">in the </w:t>
      </w:r>
      <w:r w:rsidRPr="00955A7A">
        <w:rPr>
          <w:rFonts w:ascii="Arial" w:hAnsi="Arial" w:cs="Arial"/>
          <w:lang w:val="en-US"/>
        </w:rPr>
        <w:t xml:space="preserve">more exposed to open sea ocean conditions Aphrodite’s </w:t>
      </w:r>
      <w:r w:rsidR="00330B55">
        <w:rPr>
          <w:rFonts w:ascii="Arial" w:hAnsi="Arial" w:cs="Arial"/>
          <w:lang w:val="en-US"/>
        </w:rPr>
        <w:t>H</w:t>
      </w:r>
      <w:r w:rsidRPr="00955A7A">
        <w:rPr>
          <w:rFonts w:ascii="Arial" w:hAnsi="Arial" w:cs="Arial"/>
          <w:lang w:val="en-US"/>
        </w:rPr>
        <w:t>ills area</w:t>
      </w:r>
      <w:r>
        <w:rPr>
          <w:rFonts w:ascii="Arial" w:hAnsi="Arial" w:cs="Arial"/>
          <w:lang w:val="en-US"/>
        </w:rPr>
        <w:t xml:space="preserve">. </w:t>
      </w:r>
      <w:r>
        <w:rPr>
          <w:rFonts w:ascii="Arial" w:hAnsi="Arial" w:cs="Arial"/>
        </w:rPr>
        <w:t xml:space="preserve">The E.I. mean (2016-2018) value in the vicinity of open sea farms appears slightly higher in </w:t>
      </w:r>
      <w:proofErr w:type="spellStart"/>
      <w:r>
        <w:rPr>
          <w:rFonts w:ascii="Arial" w:hAnsi="Arial" w:cs="Arial"/>
        </w:rPr>
        <w:t>Xylofagou</w:t>
      </w:r>
      <w:proofErr w:type="spellEnd"/>
      <w:r>
        <w:rPr>
          <w:rFonts w:ascii="Arial" w:hAnsi="Arial" w:cs="Arial"/>
        </w:rPr>
        <w:t xml:space="preserve">, followed by </w:t>
      </w:r>
      <w:proofErr w:type="spellStart"/>
      <w:r>
        <w:rPr>
          <w:rFonts w:ascii="Arial" w:hAnsi="Arial" w:cs="Arial"/>
        </w:rPr>
        <w:t>Larnaka</w:t>
      </w:r>
      <w:proofErr w:type="spellEnd"/>
      <w:r>
        <w:rPr>
          <w:rFonts w:ascii="Arial" w:hAnsi="Arial" w:cs="Arial"/>
        </w:rPr>
        <w:t xml:space="preserve">, Governor’s </w:t>
      </w:r>
      <w:r w:rsidR="00330B55">
        <w:rPr>
          <w:rFonts w:ascii="Arial" w:hAnsi="Arial" w:cs="Arial"/>
        </w:rPr>
        <w:t xml:space="preserve">Beach </w:t>
      </w:r>
      <w:r>
        <w:rPr>
          <w:rFonts w:ascii="Arial" w:hAnsi="Arial" w:cs="Arial"/>
        </w:rPr>
        <w:t xml:space="preserve">and </w:t>
      </w:r>
      <w:proofErr w:type="spellStart"/>
      <w:r>
        <w:rPr>
          <w:rFonts w:ascii="Arial" w:hAnsi="Arial" w:cs="Arial"/>
        </w:rPr>
        <w:t>Aphrodites</w:t>
      </w:r>
      <w:proofErr w:type="spellEnd"/>
      <w:r>
        <w:rPr>
          <w:rFonts w:ascii="Arial" w:hAnsi="Arial" w:cs="Arial"/>
        </w:rPr>
        <w:t xml:space="preserve"> </w:t>
      </w:r>
      <w:r w:rsidR="00330B55">
        <w:rPr>
          <w:rFonts w:ascii="Arial" w:hAnsi="Arial" w:cs="Arial"/>
        </w:rPr>
        <w:t xml:space="preserve">Hills </w:t>
      </w:r>
      <w:r>
        <w:rPr>
          <w:rFonts w:ascii="Arial" w:hAnsi="Arial" w:cs="Arial"/>
        </w:rPr>
        <w:t>open sea aquaculture sites.</w:t>
      </w:r>
    </w:p>
    <w:p w14:paraId="396F1761" w14:textId="0D411ED7" w:rsidR="00EC7FF2" w:rsidRPr="006F151C" w:rsidRDefault="00EC7FF2" w:rsidP="00FE23B8">
      <w:pPr>
        <w:rPr>
          <w:lang w:val="en-GB"/>
        </w:rPr>
      </w:pPr>
    </w:p>
    <w:p w14:paraId="34BBE521" w14:textId="5DA15241" w:rsidR="003878F7" w:rsidRPr="006F151C" w:rsidRDefault="003878F7" w:rsidP="00E7711F">
      <w:pPr>
        <w:pStyle w:val="Heading1"/>
        <w:numPr>
          <w:ilvl w:val="0"/>
          <w:numId w:val="40"/>
        </w:numPr>
        <w:rPr>
          <w:lang w:val="en-GB"/>
        </w:rPr>
      </w:pPr>
      <w:bookmarkStart w:id="36" w:name="_Toc145304818"/>
      <w:r w:rsidRPr="006F151C">
        <w:rPr>
          <w:lang w:val="en-GB"/>
        </w:rPr>
        <w:lastRenderedPageBreak/>
        <w:t>References</w:t>
      </w:r>
      <w:bookmarkEnd w:id="36"/>
    </w:p>
    <w:p w14:paraId="166C0508" w14:textId="77777777" w:rsidR="00A2086C" w:rsidRDefault="00A2086C" w:rsidP="00A2086C">
      <w:pPr>
        <w:pStyle w:val="REFs"/>
        <w:numPr>
          <w:ilvl w:val="0"/>
          <w:numId w:val="0"/>
        </w:numPr>
        <w:rPr>
          <w:lang w:val="en-GB"/>
        </w:rPr>
      </w:pPr>
      <w:r w:rsidRPr="00794360">
        <w:rPr>
          <w:lang w:val="en-GB"/>
        </w:rPr>
        <w:t xml:space="preserve">Baretta, J.W., </w:t>
      </w:r>
      <w:proofErr w:type="spellStart"/>
      <w:r w:rsidRPr="00794360">
        <w:rPr>
          <w:lang w:val="en-GB"/>
        </w:rPr>
        <w:t>Ebenhöh</w:t>
      </w:r>
      <w:proofErr w:type="spellEnd"/>
      <w:r>
        <w:rPr>
          <w:lang w:val="en-GB"/>
        </w:rPr>
        <w:t>, W.,</w:t>
      </w:r>
      <w:r w:rsidRPr="00794360">
        <w:rPr>
          <w:lang w:val="en-GB"/>
        </w:rPr>
        <w:t xml:space="preserve"> </w:t>
      </w:r>
      <w:proofErr w:type="spellStart"/>
      <w:r w:rsidRPr="00794360">
        <w:rPr>
          <w:lang w:val="en-GB"/>
        </w:rPr>
        <w:t>Ru</w:t>
      </w:r>
      <w:r>
        <w:rPr>
          <w:lang w:val="en-GB"/>
        </w:rPr>
        <w:t>a</w:t>
      </w:r>
      <w:r w:rsidRPr="00794360">
        <w:rPr>
          <w:lang w:val="en-GB"/>
        </w:rPr>
        <w:t>rdij</w:t>
      </w:r>
      <w:proofErr w:type="spellEnd"/>
      <w:r w:rsidRPr="00794360">
        <w:rPr>
          <w:lang w:val="en-GB"/>
        </w:rPr>
        <w:t>, P.</w:t>
      </w:r>
      <w:r>
        <w:rPr>
          <w:lang w:val="en-GB"/>
        </w:rPr>
        <w:t>,</w:t>
      </w:r>
      <w:r w:rsidRPr="00794360">
        <w:rPr>
          <w:lang w:val="en-GB"/>
        </w:rPr>
        <w:t xml:space="preserve"> 1995. The European Regional Seas Ecosystem Model, A Complex Marine Ecosystem Model. Netherlands Journal of Sea Research, 33(3/4): 233-246.</w:t>
      </w:r>
    </w:p>
    <w:p w14:paraId="4909CF6F" w14:textId="77777777" w:rsidR="00A2086C" w:rsidRDefault="00A2086C" w:rsidP="00A2086C">
      <w:pPr>
        <w:pStyle w:val="REFs"/>
        <w:numPr>
          <w:ilvl w:val="0"/>
          <w:numId w:val="0"/>
        </w:numPr>
      </w:pPr>
      <w:r w:rsidRPr="00DD6F9B">
        <w:t xml:space="preserve">Blumberg, A.F., Mellor, G.L., 1983. Diagnostic and prognostic numerical circulation studies of the South Atlantic Bight. </w:t>
      </w:r>
      <w:r w:rsidRPr="00EC6FE6">
        <w:t xml:space="preserve">Journal of Geophysical Research, 88(C8), 4579-4592. </w:t>
      </w:r>
    </w:p>
    <w:p w14:paraId="1867B2C3" w14:textId="77777777" w:rsidR="00A2086C" w:rsidRDefault="00A2086C" w:rsidP="00A2086C">
      <w:pPr>
        <w:pStyle w:val="REFs"/>
        <w:numPr>
          <w:ilvl w:val="0"/>
          <w:numId w:val="0"/>
        </w:numPr>
      </w:pPr>
      <w:r w:rsidRPr="00DD6F9B">
        <w:t xml:space="preserve">Kalaroni, S., Tsiaras, K., </w:t>
      </w:r>
      <w:proofErr w:type="spellStart"/>
      <w:r w:rsidRPr="00DD6F9B">
        <w:t>Petihakis</w:t>
      </w:r>
      <w:proofErr w:type="spellEnd"/>
      <w:r w:rsidRPr="00DD6F9B">
        <w:t xml:space="preserve">, Economou-Amilli, A., Triantafyllou, G., 2020a. Modelling the Mediterranean Pelagic Ecosystem using the POSEIDON ecological model. Part </w:t>
      </w:r>
      <w:r w:rsidRPr="00EC6FE6">
        <w:t>Ι</w:t>
      </w:r>
      <w:r w:rsidRPr="00DD6F9B">
        <w:t>: Nutrients and Chlorophyll-a dynamics. Deep-Sea Research Part II, doi:10.1016/j.dsr2.2019.104647.</w:t>
      </w:r>
    </w:p>
    <w:p w14:paraId="5D41A9B8" w14:textId="77777777" w:rsidR="00A2086C" w:rsidRDefault="00A2086C" w:rsidP="00A2086C">
      <w:pPr>
        <w:pStyle w:val="REFs"/>
        <w:numPr>
          <w:ilvl w:val="0"/>
          <w:numId w:val="0"/>
        </w:numPr>
      </w:pPr>
      <w:r w:rsidRPr="00DD6F9B">
        <w:t xml:space="preserve">Kalaroni S., Tsiaras K., Petihakis G., Economou-Amilli A., Triantafyllou G., 2020b. Modelling the Mediterranean Pelagic Ecosystem using the POSEIDON ecological model. Part II: Biological dynamics, Deep Sea Research Part II, 171, 104711, </w:t>
      </w:r>
      <w:hyperlink r:id="rId51" w:history="1">
        <w:r w:rsidRPr="00DD6F9B">
          <w:rPr>
            <w:rStyle w:val="Hyperlink"/>
          </w:rPr>
          <w:t>https://doi.org/10.1016/j.dsr2.2019.104711</w:t>
        </w:r>
      </w:hyperlink>
      <w:r w:rsidRPr="00DD6F9B">
        <w:t>.</w:t>
      </w:r>
      <w:r>
        <w:t xml:space="preserve"> </w:t>
      </w:r>
    </w:p>
    <w:p w14:paraId="3B18F19A" w14:textId="77777777" w:rsidR="00A2086C" w:rsidRPr="00D96407" w:rsidRDefault="00A2086C" w:rsidP="00A2086C">
      <w:pPr>
        <w:pStyle w:val="REFs"/>
        <w:numPr>
          <w:ilvl w:val="0"/>
          <w:numId w:val="0"/>
        </w:numPr>
        <w:rPr>
          <w:lang w:val="en-GB"/>
        </w:rPr>
      </w:pPr>
      <w:r w:rsidRPr="00604752">
        <w:rPr>
          <w:lang w:val="en-GB"/>
        </w:rPr>
        <w:t xml:space="preserve">Pavlidou, A., </w:t>
      </w:r>
      <w:proofErr w:type="spellStart"/>
      <w:r w:rsidRPr="00604752">
        <w:rPr>
          <w:lang w:val="en-GB"/>
        </w:rPr>
        <w:t>Simboura</w:t>
      </w:r>
      <w:proofErr w:type="spellEnd"/>
      <w:r w:rsidRPr="00604752">
        <w:rPr>
          <w:lang w:val="en-GB"/>
        </w:rPr>
        <w:t xml:space="preserve">, N., </w:t>
      </w:r>
      <w:proofErr w:type="spellStart"/>
      <w:r w:rsidRPr="00604752">
        <w:rPr>
          <w:lang w:val="en-GB"/>
        </w:rPr>
        <w:t>Rousselaki</w:t>
      </w:r>
      <w:proofErr w:type="spellEnd"/>
      <w:r w:rsidRPr="00604752">
        <w:rPr>
          <w:lang w:val="en-GB"/>
        </w:rPr>
        <w:t xml:space="preserve">, E., Tsapakis, M., Pagou, K., Drakopoulou, P., </w:t>
      </w:r>
      <w:proofErr w:type="spellStart"/>
      <w:r w:rsidRPr="00604752">
        <w:rPr>
          <w:lang w:val="en-GB"/>
        </w:rPr>
        <w:t>Assimakopoulou</w:t>
      </w:r>
      <w:proofErr w:type="spellEnd"/>
      <w:r w:rsidRPr="00604752">
        <w:rPr>
          <w:lang w:val="en-GB"/>
        </w:rPr>
        <w:t xml:space="preserve">, G., </w:t>
      </w:r>
      <w:proofErr w:type="spellStart"/>
      <w:r w:rsidRPr="00604752">
        <w:rPr>
          <w:lang w:val="en-GB"/>
        </w:rPr>
        <w:t>Kontoyiannis</w:t>
      </w:r>
      <w:proofErr w:type="spellEnd"/>
      <w:r w:rsidRPr="00604752">
        <w:rPr>
          <w:lang w:val="en-GB"/>
        </w:rPr>
        <w:t xml:space="preserve">, H., </w:t>
      </w:r>
      <w:proofErr w:type="spellStart"/>
      <w:r w:rsidRPr="00604752">
        <w:rPr>
          <w:lang w:val="en-GB"/>
        </w:rPr>
        <w:t>Panayotidis</w:t>
      </w:r>
      <w:proofErr w:type="spellEnd"/>
      <w:r w:rsidRPr="00604752">
        <w:rPr>
          <w:lang w:val="en-GB"/>
        </w:rPr>
        <w:t xml:space="preserve">, P., 2015. Methods of eutrophication assessment in the context of the water framework directive: Examples from the Eastern Mediterranean coastal areas. Cont. Shelf Res. 108, 156–168. </w:t>
      </w:r>
      <w:hyperlink r:id="rId52" w:history="1">
        <w:r w:rsidRPr="000159B6">
          <w:rPr>
            <w:rStyle w:val="Hyperlink"/>
            <w:lang w:val="en-GB"/>
          </w:rPr>
          <w:t>https://doi.org/10.1016/j.csr.2015.05.013</w:t>
        </w:r>
      </w:hyperlink>
      <w:r>
        <w:rPr>
          <w:lang w:val="en-GB"/>
        </w:rPr>
        <w:t>.</w:t>
      </w:r>
    </w:p>
    <w:p w14:paraId="46F98127" w14:textId="77777777" w:rsidR="00A2086C" w:rsidRDefault="00A2086C" w:rsidP="00A2086C">
      <w:pPr>
        <w:pStyle w:val="REFs"/>
        <w:numPr>
          <w:ilvl w:val="0"/>
          <w:numId w:val="0"/>
        </w:numPr>
      </w:pPr>
      <w:r w:rsidRPr="00400012">
        <w:rPr>
          <w:lang w:val="da-DK"/>
        </w:rPr>
        <w:t>Primpas, I., Tsirtsis, G., Karydis, M., &amp; Kokkoris, G. D.</w:t>
      </w:r>
      <w:r>
        <w:rPr>
          <w:lang w:val="da-DK"/>
        </w:rPr>
        <w:t>,</w:t>
      </w:r>
      <w:r w:rsidRPr="00400012">
        <w:rPr>
          <w:lang w:val="da-DK"/>
        </w:rPr>
        <w:t xml:space="preserve">  </w:t>
      </w:r>
      <w:r w:rsidRPr="00DD6F9B">
        <w:t xml:space="preserve">2010. Principal component analysis: Development of a multivariate index for assessing eutrophication according to the European water framework directive. </w:t>
      </w:r>
      <w:r w:rsidRPr="00EC6FE6">
        <w:t>Ecological Indicators, 10, 178–183.</w:t>
      </w:r>
    </w:p>
    <w:p w14:paraId="6CDC97B2" w14:textId="77777777" w:rsidR="00A2086C" w:rsidRDefault="00A2086C" w:rsidP="00A2086C">
      <w:pPr>
        <w:pStyle w:val="REFs"/>
        <w:numPr>
          <w:ilvl w:val="0"/>
          <w:numId w:val="0"/>
        </w:numPr>
        <w:rPr>
          <w:lang w:val="en-GB"/>
        </w:rPr>
      </w:pPr>
      <w:proofErr w:type="spellStart"/>
      <w:r w:rsidRPr="00794360">
        <w:rPr>
          <w:lang w:val="en-GB"/>
        </w:rPr>
        <w:t>Tsagaraki</w:t>
      </w:r>
      <w:proofErr w:type="spellEnd"/>
      <w:r w:rsidRPr="00794360">
        <w:rPr>
          <w:lang w:val="en-GB"/>
        </w:rPr>
        <w:t xml:space="preserve">, T.M., </w:t>
      </w:r>
      <w:proofErr w:type="spellStart"/>
      <w:r w:rsidRPr="00794360">
        <w:rPr>
          <w:lang w:val="en-GB"/>
        </w:rPr>
        <w:t>Petihakis</w:t>
      </w:r>
      <w:proofErr w:type="spellEnd"/>
      <w:r w:rsidRPr="00794360">
        <w:rPr>
          <w:lang w:val="en-GB"/>
        </w:rPr>
        <w:t xml:space="preserve">, G., Tsiaras, K., Triantafyllou, G., Tsapakis, M., </w:t>
      </w:r>
      <w:proofErr w:type="spellStart"/>
      <w:r w:rsidRPr="00794360">
        <w:rPr>
          <w:lang w:val="en-GB"/>
        </w:rPr>
        <w:t>Korres</w:t>
      </w:r>
      <w:proofErr w:type="spellEnd"/>
      <w:r w:rsidRPr="00794360">
        <w:rPr>
          <w:lang w:val="en-GB"/>
        </w:rPr>
        <w:t xml:space="preserve">, G., </w:t>
      </w:r>
      <w:proofErr w:type="spellStart"/>
      <w:r w:rsidRPr="00794360">
        <w:rPr>
          <w:lang w:val="en-GB"/>
        </w:rPr>
        <w:t>Kakagiannis</w:t>
      </w:r>
      <w:proofErr w:type="spellEnd"/>
      <w:r w:rsidRPr="00794360">
        <w:rPr>
          <w:lang w:val="en-GB"/>
        </w:rPr>
        <w:t xml:space="preserve">, G., Frangoulis, C. and </w:t>
      </w:r>
      <w:proofErr w:type="spellStart"/>
      <w:r w:rsidRPr="00794360">
        <w:rPr>
          <w:lang w:val="en-GB"/>
        </w:rPr>
        <w:t>Karakassis</w:t>
      </w:r>
      <w:proofErr w:type="spellEnd"/>
      <w:r w:rsidRPr="00794360">
        <w:rPr>
          <w:lang w:val="en-GB"/>
        </w:rPr>
        <w:t>. 2011. Beyond the cage: ecosystem modelling for impact evaluation in aquaculture. Ecological Modelling, 222(14): 2512-2523.</w:t>
      </w:r>
    </w:p>
    <w:p w14:paraId="65B48265" w14:textId="3B75ADE7" w:rsidR="00A2086C" w:rsidRPr="00794360" w:rsidRDefault="00A2086C" w:rsidP="00A2086C">
      <w:pPr>
        <w:pStyle w:val="REFs"/>
        <w:numPr>
          <w:ilvl w:val="0"/>
          <w:numId w:val="0"/>
        </w:numPr>
        <w:rPr>
          <w:lang w:val="en-GB"/>
        </w:rPr>
      </w:pPr>
      <w:r w:rsidRPr="00CD267F">
        <w:rPr>
          <w:lang w:val="en-GB"/>
        </w:rPr>
        <w:t xml:space="preserve">Tsiaras, K., Tsapakis, M., </w:t>
      </w:r>
      <w:proofErr w:type="spellStart"/>
      <w:r w:rsidRPr="00CD267F">
        <w:rPr>
          <w:lang w:val="en-GB"/>
        </w:rPr>
        <w:t>Gkanassos</w:t>
      </w:r>
      <w:proofErr w:type="spellEnd"/>
      <w:r w:rsidRPr="00CD267F">
        <w:rPr>
          <w:lang w:val="en-GB"/>
        </w:rPr>
        <w:t xml:space="preserve">, A., Kalantzi, I. Petihakis, G., Triantafyllou, G., 2022. Modelling the impact of finfish aquaculture waste on the environmental status in an Eastern Mediterranean Allocated </w:t>
      </w:r>
      <w:proofErr w:type="spellStart"/>
      <w:r w:rsidRPr="00CD267F">
        <w:rPr>
          <w:lang w:val="en-GB"/>
        </w:rPr>
        <w:t>Ζone</w:t>
      </w:r>
      <w:proofErr w:type="spellEnd"/>
      <w:r w:rsidRPr="00CD267F">
        <w:rPr>
          <w:lang w:val="en-GB"/>
        </w:rPr>
        <w:t xml:space="preserve"> for Aquaculture, Continental Shelf Research 234 (2022) 104647, doi.org/10.1016/j.csr.2022.104647</w:t>
      </w:r>
      <w:r>
        <w:rPr>
          <w:lang w:val="en-GB"/>
        </w:rPr>
        <w:t>.</w:t>
      </w:r>
    </w:p>
    <w:p w14:paraId="58FB4AE9" w14:textId="77777777" w:rsidR="00A2086C" w:rsidRPr="00974DE1" w:rsidRDefault="00A2086C" w:rsidP="00A2086C">
      <w:pPr>
        <w:pStyle w:val="REFs"/>
        <w:numPr>
          <w:ilvl w:val="0"/>
          <w:numId w:val="0"/>
        </w:numPr>
      </w:pPr>
      <w:r w:rsidRPr="00794360">
        <w:rPr>
          <w:lang w:val="en-GB"/>
        </w:rPr>
        <w:t xml:space="preserve"> </w:t>
      </w:r>
    </w:p>
    <w:sectPr w:rsidR="00A2086C" w:rsidRPr="00974DE1" w:rsidSect="007C50B1">
      <w:headerReference w:type="default" r:id="rId53"/>
      <w:pgSz w:w="11907" w:h="16840" w:code="9"/>
      <w:pgMar w:top="1418" w:right="1418" w:bottom="1418" w:left="1418" w:header="709" w:footer="70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DD377" w14:textId="77777777" w:rsidR="002C5589" w:rsidRDefault="002C5589" w:rsidP="00EF6594">
      <w:pPr>
        <w:spacing w:line="240" w:lineRule="auto"/>
      </w:pPr>
      <w:r>
        <w:separator/>
      </w:r>
    </w:p>
  </w:endnote>
  <w:endnote w:type="continuationSeparator" w:id="0">
    <w:p w14:paraId="56B59E00" w14:textId="77777777" w:rsidR="002C5589" w:rsidRDefault="002C5589" w:rsidP="00EF6594">
      <w:pPr>
        <w:spacing w:line="240" w:lineRule="auto"/>
      </w:pPr>
      <w:r>
        <w:continuationSeparator/>
      </w:r>
    </w:p>
  </w:endnote>
  <w:endnote w:type="continuationNotice" w:id="1">
    <w:p w14:paraId="62C8B2B9" w14:textId="77777777" w:rsidR="002C5589" w:rsidRDefault="002C558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7846806"/>
      <w:docPartObj>
        <w:docPartGallery w:val="Page Numbers (Bottom of Page)"/>
        <w:docPartUnique/>
      </w:docPartObj>
    </w:sdtPr>
    <w:sdtContent>
      <w:sdt>
        <w:sdtPr>
          <w:id w:val="84503113"/>
          <w:docPartObj>
            <w:docPartGallery w:val="Page Numbers (Top of Page)"/>
            <w:docPartUnique/>
          </w:docPartObj>
        </w:sdtPr>
        <w:sdtContent>
          <w:p w14:paraId="02404EF4" w14:textId="6723D929" w:rsidR="00BB48D7" w:rsidRPr="00F040A1" w:rsidRDefault="00BB48D7" w:rsidP="00F040A1">
            <w:pPr>
              <w:pStyle w:val="Footer"/>
              <w:jc w:val="right"/>
            </w:pPr>
            <w:r w:rsidRPr="00DD20E1">
              <w:t xml:space="preserve">May 31, </w:t>
            </w:r>
            <w:proofErr w:type="gramStart"/>
            <w:r w:rsidRPr="00DD20E1">
              <w:t>202</w:t>
            </w:r>
            <w:r w:rsidR="00DD20E1" w:rsidRPr="00DD20E1">
              <w:rPr>
                <w:lang w:val="el-GR"/>
              </w:rPr>
              <w:t>3</w:t>
            </w:r>
            <w:proofErr w:type="gramEnd"/>
            <w:r w:rsidRPr="00DD20E1">
              <w:rPr>
                <w:lang w:val="en-GB"/>
              </w:rPr>
              <w:t xml:space="preserve"> </w:t>
            </w:r>
            <w:r w:rsidRPr="00DD20E1">
              <w:tab/>
              <w:t xml:space="preserve">Public </w:t>
            </w:r>
            <w:r w:rsidRPr="00DD20E1">
              <w:tab/>
              <w:t xml:space="preserve">Page </w:t>
            </w:r>
            <w:r w:rsidRPr="00DD20E1">
              <w:rPr>
                <w:b/>
                <w:bCs/>
                <w:sz w:val="24"/>
                <w:szCs w:val="24"/>
              </w:rPr>
              <w:fldChar w:fldCharType="begin"/>
            </w:r>
            <w:r w:rsidRPr="00DD20E1">
              <w:rPr>
                <w:b/>
                <w:bCs/>
              </w:rPr>
              <w:instrText xml:space="preserve"> PAGE </w:instrText>
            </w:r>
            <w:r w:rsidRPr="00DD20E1">
              <w:rPr>
                <w:b/>
                <w:bCs/>
                <w:sz w:val="24"/>
                <w:szCs w:val="24"/>
              </w:rPr>
              <w:fldChar w:fldCharType="separate"/>
            </w:r>
            <w:r w:rsidR="00C06527">
              <w:rPr>
                <w:b/>
                <w:bCs/>
                <w:noProof/>
              </w:rPr>
              <w:t>20</w:t>
            </w:r>
            <w:r w:rsidRPr="00DD20E1">
              <w:rPr>
                <w:b/>
                <w:bCs/>
                <w:sz w:val="24"/>
                <w:szCs w:val="24"/>
              </w:rPr>
              <w:fldChar w:fldCharType="end"/>
            </w:r>
            <w:r w:rsidRPr="00DD20E1">
              <w:t xml:space="preserve"> of </w:t>
            </w:r>
            <w:r w:rsidR="00017FEB" w:rsidRPr="00017FEB">
              <w:rPr>
                <w:b/>
                <w:bCs/>
                <w:szCs w:val="20"/>
              </w:rPr>
              <w:t>34</w:t>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71434510"/>
      <w:docPartObj>
        <w:docPartGallery w:val="Page Numbers (Bottom of Page)"/>
        <w:docPartUnique/>
      </w:docPartObj>
    </w:sdtPr>
    <w:sdtContent>
      <w:sdt>
        <w:sdtPr>
          <w:id w:val="1103847990"/>
          <w:docPartObj>
            <w:docPartGallery w:val="Page Numbers (Top of Page)"/>
            <w:docPartUnique/>
          </w:docPartObj>
        </w:sdtPr>
        <w:sdtContent>
          <w:p w14:paraId="0E066D7E" w14:textId="1AB98B88" w:rsidR="00BB48D7" w:rsidRPr="00F040A1" w:rsidRDefault="00BB48D7" w:rsidP="007C50B1">
            <w:pPr>
              <w:pStyle w:val="Footer"/>
              <w:jc w:val="right"/>
            </w:pPr>
            <w:r w:rsidRPr="00DD20E1">
              <w:t>May 31, 202</w:t>
            </w:r>
            <w:r w:rsidR="00DD20E1" w:rsidRPr="00DD20E1">
              <w:rPr>
                <w:lang w:val="el-GR"/>
              </w:rPr>
              <w:t>3</w:t>
            </w:r>
            <w:r w:rsidRPr="00DD20E1">
              <w:rPr>
                <w:lang w:val="en-GB"/>
              </w:rPr>
              <w:t xml:space="preserve"> </w:t>
            </w:r>
            <w:r w:rsidRPr="00DD20E1">
              <w:tab/>
              <w:t xml:space="preserve">Public </w:t>
            </w:r>
            <w:r w:rsidRPr="00DD20E1">
              <w:tab/>
              <w:t xml:space="preserve">Page </w:t>
            </w:r>
            <w:r w:rsidRPr="00DD20E1">
              <w:rPr>
                <w:b/>
                <w:bCs/>
                <w:sz w:val="24"/>
                <w:szCs w:val="24"/>
              </w:rPr>
              <w:fldChar w:fldCharType="begin"/>
            </w:r>
            <w:r w:rsidRPr="00DD20E1">
              <w:rPr>
                <w:b/>
                <w:bCs/>
              </w:rPr>
              <w:instrText xml:space="preserve"> PAGE </w:instrText>
            </w:r>
            <w:r w:rsidRPr="00DD20E1">
              <w:rPr>
                <w:b/>
                <w:bCs/>
                <w:sz w:val="24"/>
                <w:szCs w:val="24"/>
              </w:rPr>
              <w:fldChar w:fldCharType="separate"/>
            </w:r>
            <w:r w:rsidR="00C06527">
              <w:rPr>
                <w:b/>
                <w:bCs/>
                <w:noProof/>
              </w:rPr>
              <w:t>0</w:t>
            </w:r>
            <w:r w:rsidRPr="00DD20E1">
              <w:rPr>
                <w:b/>
                <w:bCs/>
                <w:sz w:val="24"/>
                <w:szCs w:val="24"/>
              </w:rPr>
              <w:fldChar w:fldCharType="end"/>
            </w:r>
            <w:r w:rsidRPr="00DD20E1">
              <w:t xml:space="preserve"> of </w:t>
            </w:r>
            <w:r w:rsidRPr="00DD20E1">
              <w:rPr>
                <w:b/>
                <w:bCs/>
                <w:sz w:val="24"/>
                <w:szCs w:val="24"/>
              </w:rPr>
              <w:fldChar w:fldCharType="begin"/>
            </w:r>
            <w:r w:rsidRPr="00DD20E1">
              <w:rPr>
                <w:b/>
                <w:bCs/>
              </w:rPr>
              <w:instrText xml:space="preserve"> NUMPAGES  </w:instrText>
            </w:r>
            <w:r w:rsidRPr="00DD20E1">
              <w:rPr>
                <w:b/>
                <w:bCs/>
                <w:sz w:val="24"/>
                <w:szCs w:val="24"/>
              </w:rPr>
              <w:fldChar w:fldCharType="separate"/>
            </w:r>
            <w:r w:rsidR="00C06527">
              <w:rPr>
                <w:b/>
                <w:bCs/>
                <w:noProof/>
              </w:rPr>
              <w:t>35</w:t>
            </w:r>
            <w:r w:rsidRPr="00DD20E1">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D29A0E" w14:textId="77777777" w:rsidR="002C5589" w:rsidRDefault="002C5589" w:rsidP="00EF6594">
      <w:pPr>
        <w:spacing w:line="240" w:lineRule="auto"/>
      </w:pPr>
      <w:r>
        <w:separator/>
      </w:r>
    </w:p>
  </w:footnote>
  <w:footnote w:type="continuationSeparator" w:id="0">
    <w:p w14:paraId="26FBF0C1" w14:textId="77777777" w:rsidR="002C5589" w:rsidRDefault="002C5589" w:rsidP="00EF6594">
      <w:pPr>
        <w:spacing w:line="240" w:lineRule="auto"/>
      </w:pPr>
      <w:r>
        <w:continuationSeparator/>
      </w:r>
    </w:p>
  </w:footnote>
  <w:footnote w:type="continuationNotice" w:id="1">
    <w:p w14:paraId="5764F147" w14:textId="77777777" w:rsidR="002C5589" w:rsidRDefault="002C558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E2EF1C" w14:textId="6786A1F0" w:rsidR="00BB48D7" w:rsidRPr="007902CE" w:rsidRDefault="00BB48D7" w:rsidP="007902CE">
    <w:pPr>
      <w:pStyle w:val="Header"/>
    </w:pPr>
    <w:r w:rsidRPr="006B4A94">
      <w:rPr>
        <w:rFonts w:cs="Arial"/>
        <w:b/>
        <w:noProof/>
        <w:sz w:val="24"/>
        <w:szCs w:val="24"/>
        <w:highlight w:val="yellow"/>
        <w:lang w:val="en-GB" w:eastAsia="en-GB"/>
      </w:rPr>
      <w:drawing>
        <wp:anchor distT="0" distB="0" distL="114300" distR="114300" simplePos="0" relativeHeight="251680768" behindDoc="0" locked="0" layoutInCell="1" allowOverlap="1" wp14:anchorId="38D92E71" wp14:editId="7ED77A3E">
          <wp:simplePos x="0" y="0"/>
          <wp:positionH relativeFrom="margin">
            <wp:posOffset>4406900</wp:posOffset>
          </wp:positionH>
          <wp:positionV relativeFrom="page">
            <wp:posOffset>358937</wp:posOffset>
          </wp:positionV>
          <wp:extent cx="1353185" cy="532765"/>
          <wp:effectExtent l="0" t="0" r="0" b="635"/>
          <wp:wrapSquare wrapText="bothSides"/>
          <wp:docPr id="50" name="Picture 12">
            <a:extLst xmlns:a="http://schemas.openxmlformats.org/drawingml/2006/main">
              <a:ext uri="{FF2B5EF4-FFF2-40B4-BE49-F238E27FC236}">
                <a16:creationId xmlns:a16="http://schemas.microsoft.com/office/drawing/2014/main" id="{C8534D42-1CFB-425D-9960-BE84ADE8B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8534D42-1CFB-425D-9960-BE84ADE8B838}"/>
                      </a:ext>
                    </a:extLst>
                  </pic:cNvPr>
                  <pic:cNvPicPr>
                    <a:picLocks noChangeAspect="1"/>
                  </pic:cNvPicPr>
                </pic:nvPicPr>
                <pic:blipFill rotWithShape="1">
                  <a:blip r:embed="rId1">
                    <a:extLst>
                      <a:ext uri="{28A0092B-C50C-407E-A947-70E740481C1C}">
                        <a14:useLocalDpi xmlns:a14="http://schemas.microsoft.com/office/drawing/2010/main" val="0"/>
                      </a:ext>
                    </a:extLst>
                  </a:blip>
                  <a:srcRect t="10066" b="8041"/>
                  <a:stretch/>
                </pic:blipFill>
                <pic:spPr bwMode="auto">
                  <a:xfrm>
                    <a:off x="0" y="0"/>
                    <a:ext cx="1353185" cy="532765"/>
                  </a:xfrm>
                  <a:prstGeom prst="rect">
                    <a:avLst/>
                  </a:prstGeom>
                  <a:ln>
                    <a:noFill/>
                  </a:ln>
                  <a:effectLst>
                    <a:reflection endPos="0" dist="127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3C49">
      <w:t>D1</w:t>
    </w:r>
    <w:r>
      <w:t>2</w:t>
    </w:r>
    <w:r w:rsidRPr="00923C49">
      <w:t xml:space="preserve">: Identification of sites where </w:t>
    </w:r>
    <w:r>
      <w:t xml:space="preserve">aquaculture will not affect </w:t>
    </w:r>
    <w:r w:rsidRPr="00923C49">
      <w:t xml:space="preserve">the </w:t>
    </w:r>
    <w:r>
      <w:t xml:space="preserve">activities of other established users (tourists, fishermen, industry) of the coastal zone </w:t>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D39EB" w14:textId="22AF62EF" w:rsidR="00BB48D7" w:rsidRPr="007902CE" w:rsidRDefault="00BB48D7" w:rsidP="007902CE">
    <w:pPr>
      <w:pStyle w:val="Header"/>
    </w:pPr>
    <w:r w:rsidRPr="006B4A94">
      <w:rPr>
        <w:rFonts w:cs="Arial"/>
        <w:b/>
        <w:noProof/>
        <w:sz w:val="24"/>
        <w:szCs w:val="24"/>
        <w:highlight w:val="yellow"/>
        <w:lang w:val="en-GB" w:eastAsia="en-GB"/>
      </w:rPr>
      <w:drawing>
        <wp:anchor distT="0" distB="0" distL="114300" distR="114300" simplePos="0" relativeHeight="251675648" behindDoc="0" locked="0" layoutInCell="1" allowOverlap="1" wp14:anchorId="6458A489" wp14:editId="37AD056B">
          <wp:simplePos x="0" y="0"/>
          <wp:positionH relativeFrom="margin">
            <wp:posOffset>4406900</wp:posOffset>
          </wp:positionH>
          <wp:positionV relativeFrom="page">
            <wp:posOffset>358937</wp:posOffset>
          </wp:positionV>
          <wp:extent cx="1353185" cy="532765"/>
          <wp:effectExtent l="0" t="0" r="0" b="635"/>
          <wp:wrapSquare wrapText="bothSides"/>
          <wp:docPr id="227" name="Picture 12">
            <a:extLst xmlns:a="http://schemas.openxmlformats.org/drawingml/2006/main">
              <a:ext uri="{FF2B5EF4-FFF2-40B4-BE49-F238E27FC236}">
                <a16:creationId xmlns:a16="http://schemas.microsoft.com/office/drawing/2014/main" id="{C8534D42-1CFB-425D-9960-BE84ADE8B8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C8534D42-1CFB-425D-9960-BE84ADE8B838}"/>
                      </a:ext>
                    </a:extLst>
                  </pic:cNvPr>
                  <pic:cNvPicPr>
                    <a:picLocks noChangeAspect="1"/>
                  </pic:cNvPicPr>
                </pic:nvPicPr>
                <pic:blipFill rotWithShape="1">
                  <a:blip r:embed="rId1">
                    <a:extLst>
                      <a:ext uri="{28A0092B-C50C-407E-A947-70E740481C1C}">
                        <a14:useLocalDpi xmlns:a14="http://schemas.microsoft.com/office/drawing/2010/main" val="0"/>
                      </a:ext>
                    </a:extLst>
                  </a:blip>
                  <a:srcRect t="10066" b="8041"/>
                  <a:stretch/>
                </pic:blipFill>
                <pic:spPr bwMode="auto">
                  <a:xfrm>
                    <a:off x="0" y="0"/>
                    <a:ext cx="1353185" cy="532765"/>
                  </a:xfrm>
                  <a:prstGeom prst="rect">
                    <a:avLst/>
                  </a:prstGeom>
                  <a:ln>
                    <a:noFill/>
                  </a:ln>
                  <a:effectLst>
                    <a:reflection endPos="0" dist="12700" dir="5400000" sy="-100000" algn="bl" rotWithShape="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23C49">
      <w:t>D1</w:t>
    </w:r>
    <w:r>
      <w:t>2</w:t>
    </w:r>
    <w:r w:rsidRPr="00923C49">
      <w:t xml:space="preserve">: </w:t>
    </w:r>
    <w:r w:rsidRPr="00A44256">
      <w:t>Identification of sites where aquaculture will not affect the activities of other established users (tourists, fishermen, industry) of the coastal zone</w:t>
    </w:r>
    <w:r>
      <w:t xml:space="preserve"> </w:t>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D98D6F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63E2E4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52F3A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556C51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7ECA76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8083F6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6082E9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C829F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31EE2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A6480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4745E8"/>
    <w:multiLevelType w:val="hybridMultilevel"/>
    <w:tmpl w:val="33349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3E2331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52E7822"/>
    <w:multiLevelType w:val="multilevel"/>
    <w:tmpl w:val="B916044C"/>
    <w:numStyleLink w:val="LFO5"/>
  </w:abstractNum>
  <w:abstractNum w:abstractNumId="13" w15:restartNumberingAfterBreak="0">
    <w:nsid w:val="0FD93520"/>
    <w:multiLevelType w:val="hybridMultilevel"/>
    <w:tmpl w:val="ACDACB58"/>
    <w:lvl w:ilvl="0" w:tplc="7EE0FD5A">
      <w:start w:val="1"/>
      <w:numFmt w:val="bullet"/>
      <w:lvlText w:val=""/>
      <w:lvlJc w:val="left"/>
      <w:pPr>
        <w:ind w:left="1193" w:hanging="360"/>
      </w:pPr>
      <w:rPr>
        <w:rFonts w:ascii="Wingdings" w:hAnsi="Wingdings" w:hint="default"/>
        <w:sz w:val="20"/>
      </w:rPr>
    </w:lvl>
    <w:lvl w:ilvl="1" w:tplc="10000003" w:tentative="1">
      <w:start w:val="1"/>
      <w:numFmt w:val="bullet"/>
      <w:lvlText w:val="o"/>
      <w:lvlJc w:val="left"/>
      <w:pPr>
        <w:ind w:left="1913" w:hanging="360"/>
      </w:pPr>
      <w:rPr>
        <w:rFonts w:ascii="Courier New" w:hAnsi="Courier New" w:cs="Courier New" w:hint="default"/>
      </w:rPr>
    </w:lvl>
    <w:lvl w:ilvl="2" w:tplc="10000005" w:tentative="1">
      <w:start w:val="1"/>
      <w:numFmt w:val="bullet"/>
      <w:lvlText w:val=""/>
      <w:lvlJc w:val="left"/>
      <w:pPr>
        <w:ind w:left="2633" w:hanging="360"/>
      </w:pPr>
      <w:rPr>
        <w:rFonts w:ascii="Wingdings" w:hAnsi="Wingdings" w:hint="default"/>
      </w:rPr>
    </w:lvl>
    <w:lvl w:ilvl="3" w:tplc="10000001" w:tentative="1">
      <w:start w:val="1"/>
      <w:numFmt w:val="bullet"/>
      <w:lvlText w:val=""/>
      <w:lvlJc w:val="left"/>
      <w:pPr>
        <w:ind w:left="3353" w:hanging="360"/>
      </w:pPr>
      <w:rPr>
        <w:rFonts w:ascii="Symbol" w:hAnsi="Symbol" w:hint="default"/>
      </w:rPr>
    </w:lvl>
    <w:lvl w:ilvl="4" w:tplc="10000003" w:tentative="1">
      <w:start w:val="1"/>
      <w:numFmt w:val="bullet"/>
      <w:lvlText w:val="o"/>
      <w:lvlJc w:val="left"/>
      <w:pPr>
        <w:ind w:left="4073" w:hanging="360"/>
      </w:pPr>
      <w:rPr>
        <w:rFonts w:ascii="Courier New" w:hAnsi="Courier New" w:cs="Courier New" w:hint="default"/>
      </w:rPr>
    </w:lvl>
    <w:lvl w:ilvl="5" w:tplc="10000005" w:tentative="1">
      <w:start w:val="1"/>
      <w:numFmt w:val="bullet"/>
      <w:lvlText w:val=""/>
      <w:lvlJc w:val="left"/>
      <w:pPr>
        <w:ind w:left="4793" w:hanging="360"/>
      </w:pPr>
      <w:rPr>
        <w:rFonts w:ascii="Wingdings" w:hAnsi="Wingdings" w:hint="default"/>
      </w:rPr>
    </w:lvl>
    <w:lvl w:ilvl="6" w:tplc="10000001" w:tentative="1">
      <w:start w:val="1"/>
      <w:numFmt w:val="bullet"/>
      <w:lvlText w:val=""/>
      <w:lvlJc w:val="left"/>
      <w:pPr>
        <w:ind w:left="5513" w:hanging="360"/>
      </w:pPr>
      <w:rPr>
        <w:rFonts w:ascii="Symbol" w:hAnsi="Symbol" w:hint="default"/>
      </w:rPr>
    </w:lvl>
    <w:lvl w:ilvl="7" w:tplc="10000003" w:tentative="1">
      <w:start w:val="1"/>
      <w:numFmt w:val="bullet"/>
      <w:lvlText w:val="o"/>
      <w:lvlJc w:val="left"/>
      <w:pPr>
        <w:ind w:left="6233" w:hanging="360"/>
      </w:pPr>
      <w:rPr>
        <w:rFonts w:ascii="Courier New" w:hAnsi="Courier New" w:cs="Courier New" w:hint="default"/>
      </w:rPr>
    </w:lvl>
    <w:lvl w:ilvl="8" w:tplc="10000005" w:tentative="1">
      <w:start w:val="1"/>
      <w:numFmt w:val="bullet"/>
      <w:lvlText w:val=""/>
      <w:lvlJc w:val="left"/>
      <w:pPr>
        <w:ind w:left="6953" w:hanging="360"/>
      </w:pPr>
      <w:rPr>
        <w:rFonts w:ascii="Wingdings" w:hAnsi="Wingdings" w:hint="default"/>
      </w:rPr>
    </w:lvl>
  </w:abstractNum>
  <w:abstractNum w:abstractNumId="14" w15:restartNumberingAfterBreak="0">
    <w:nsid w:val="108C7BB5"/>
    <w:multiLevelType w:val="hybridMultilevel"/>
    <w:tmpl w:val="3D2A05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5" w15:restartNumberingAfterBreak="0">
    <w:nsid w:val="112C016B"/>
    <w:multiLevelType w:val="hybridMultilevel"/>
    <w:tmpl w:val="0ED2FB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4B1971"/>
    <w:multiLevelType w:val="hybridMultilevel"/>
    <w:tmpl w:val="65F4A10E"/>
    <w:lvl w:ilvl="0" w:tplc="CCA0CB8C">
      <w:start w:val="1"/>
      <w:numFmt w:val="bullet"/>
      <w:pStyle w:val="Bull-2"/>
      <w:lvlText w:val=""/>
      <w:lvlJc w:val="left"/>
      <w:pPr>
        <w:ind w:left="1877" w:hanging="360"/>
      </w:pPr>
      <w:rPr>
        <w:rFonts w:ascii="Wingdings" w:hAnsi="Wingdings" w:hint="default"/>
        <w:sz w:val="20"/>
      </w:rPr>
    </w:lvl>
    <w:lvl w:ilvl="1" w:tplc="10000003" w:tentative="1">
      <w:start w:val="1"/>
      <w:numFmt w:val="bullet"/>
      <w:lvlText w:val="o"/>
      <w:lvlJc w:val="left"/>
      <w:pPr>
        <w:ind w:left="2597" w:hanging="360"/>
      </w:pPr>
      <w:rPr>
        <w:rFonts w:ascii="Courier New" w:hAnsi="Courier New" w:cs="Courier New" w:hint="default"/>
      </w:rPr>
    </w:lvl>
    <w:lvl w:ilvl="2" w:tplc="10000005" w:tentative="1">
      <w:start w:val="1"/>
      <w:numFmt w:val="bullet"/>
      <w:lvlText w:val=""/>
      <w:lvlJc w:val="left"/>
      <w:pPr>
        <w:ind w:left="3317" w:hanging="360"/>
      </w:pPr>
      <w:rPr>
        <w:rFonts w:ascii="Wingdings" w:hAnsi="Wingdings" w:hint="default"/>
      </w:rPr>
    </w:lvl>
    <w:lvl w:ilvl="3" w:tplc="10000001" w:tentative="1">
      <w:start w:val="1"/>
      <w:numFmt w:val="bullet"/>
      <w:lvlText w:val=""/>
      <w:lvlJc w:val="left"/>
      <w:pPr>
        <w:ind w:left="4037" w:hanging="360"/>
      </w:pPr>
      <w:rPr>
        <w:rFonts w:ascii="Symbol" w:hAnsi="Symbol" w:hint="default"/>
      </w:rPr>
    </w:lvl>
    <w:lvl w:ilvl="4" w:tplc="10000003" w:tentative="1">
      <w:start w:val="1"/>
      <w:numFmt w:val="bullet"/>
      <w:lvlText w:val="o"/>
      <w:lvlJc w:val="left"/>
      <w:pPr>
        <w:ind w:left="4757" w:hanging="360"/>
      </w:pPr>
      <w:rPr>
        <w:rFonts w:ascii="Courier New" w:hAnsi="Courier New" w:cs="Courier New" w:hint="default"/>
      </w:rPr>
    </w:lvl>
    <w:lvl w:ilvl="5" w:tplc="10000005" w:tentative="1">
      <w:start w:val="1"/>
      <w:numFmt w:val="bullet"/>
      <w:lvlText w:val=""/>
      <w:lvlJc w:val="left"/>
      <w:pPr>
        <w:ind w:left="5477" w:hanging="360"/>
      </w:pPr>
      <w:rPr>
        <w:rFonts w:ascii="Wingdings" w:hAnsi="Wingdings" w:hint="default"/>
      </w:rPr>
    </w:lvl>
    <w:lvl w:ilvl="6" w:tplc="10000001" w:tentative="1">
      <w:start w:val="1"/>
      <w:numFmt w:val="bullet"/>
      <w:lvlText w:val=""/>
      <w:lvlJc w:val="left"/>
      <w:pPr>
        <w:ind w:left="6197" w:hanging="360"/>
      </w:pPr>
      <w:rPr>
        <w:rFonts w:ascii="Symbol" w:hAnsi="Symbol" w:hint="default"/>
      </w:rPr>
    </w:lvl>
    <w:lvl w:ilvl="7" w:tplc="10000003" w:tentative="1">
      <w:start w:val="1"/>
      <w:numFmt w:val="bullet"/>
      <w:lvlText w:val="o"/>
      <w:lvlJc w:val="left"/>
      <w:pPr>
        <w:ind w:left="6917" w:hanging="360"/>
      </w:pPr>
      <w:rPr>
        <w:rFonts w:ascii="Courier New" w:hAnsi="Courier New" w:cs="Courier New" w:hint="default"/>
      </w:rPr>
    </w:lvl>
    <w:lvl w:ilvl="8" w:tplc="10000005" w:tentative="1">
      <w:start w:val="1"/>
      <w:numFmt w:val="bullet"/>
      <w:lvlText w:val=""/>
      <w:lvlJc w:val="left"/>
      <w:pPr>
        <w:ind w:left="7637" w:hanging="360"/>
      </w:pPr>
      <w:rPr>
        <w:rFonts w:ascii="Wingdings" w:hAnsi="Wingdings" w:hint="default"/>
      </w:rPr>
    </w:lvl>
  </w:abstractNum>
  <w:abstractNum w:abstractNumId="17" w15:restartNumberingAfterBreak="0">
    <w:nsid w:val="1B536D0E"/>
    <w:multiLevelType w:val="hybridMultilevel"/>
    <w:tmpl w:val="1C089F2C"/>
    <w:lvl w:ilvl="0" w:tplc="595ED384">
      <w:numFmt w:val="bullet"/>
      <w:lvlText w:val=""/>
      <w:lvlJc w:val="left"/>
      <w:pPr>
        <w:ind w:left="1211" w:hanging="360"/>
      </w:pPr>
      <w:rPr>
        <w:rFonts w:ascii="Wingdings" w:eastAsia="Calibri" w:hAnsi="Wingdings"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18" w15:restartNumberingAfterBreak="0">
    <w:nsid w:val="1FCB662F"/>
    <w:multiLevelType w:val="hybridMultilevel"/>
    <w:tmpl w:val="BAAE2DD2"/>
    <w:lvl w:ilvl="0" w:tplc="5A2A7790">
      <w:start w:val="1"/>
      <w:numFmt w:val="bullet"/>
      <w:lvlText w:val=""/>
      <w:lvlJc w:val="left"/>
      <w:pPr>
        <w:ind w:left="1117" w:hanging="360"/>
      </w:pPr>
      <w:rPr>
        <w:rFonts w:ascii="Wingdings" w:hAnsi="Wingdings" w:hint="default"/>
        <w:sz w:val="20"/>
      </w:rPr>
    </w:lvl>
    <w:lvl w:ilvl="1" w:tplc="10000003" w:tentative="1">
      <w:start w:val="1"/>
      <w:numFmt w:val="bullet"/>
      <w:lvlText w:val="o"/>
      <w:lvlJc w:val="left"/>
      <w:pPr>
        <w:ind w:left="1837" w:hanging="360"/>
      </w:pPr>
      <w:rPr>
        <w:rFonts w:ascii="Courier New" w:hAnsi="Courier New" w:cs="Courier New" w:hint="default"/>
      </w:rPr>
    </w:lvl>
    <w:lvl w:ilvl="2" w:tplc="10000005" w:tentative="1">
      <w:start w:val="1"/>
      <w:numFmt w:val="bullet"/>
      <w:lvlText w:val=""/>
      <w:lvlJc w:val="left"/>
      <w:pPr>
        <w:ind w:left="2557" w:hanging="360"/>
      </w:pPr>
      <w:rPr>
        <w:rFonts w:ascii="Wingdings" w:hAnsi="Wingdings" w:hint="default"/>
      </w:rPr>
    </w:lvl>
    <w:lvl w:ilvl="3" w:tplc="10000001" w:tentative="1">
      <w:start w:val="1"/>
      <w:numFmt w:val="bullet"/>
      <w:lvlText w:val=""/>
      <w:lvlJc w:val="left"/>
      <w:pPr>
        <w:ind w:left="3277" w:hanging="360"/>
      </w:pPr>
      <w:rPr>
        <w:rFonts w:ascii="Symbol" w:hAnsi="Symbol" w:hint="default"/>
      </w:rPr>
    </w:lvl>
    <w:lvl w:ilvl="4" w:tplc="10000003" w:tentative="1">
      <w:start w:val="1"/>
      <w:numFmt w:val="bullet"/>
      <w:lvlText w:val="o"/>
      <w:lvlJc w:val="left"/>
      <w:pPr>
        <w:ind w:left="3997" w:hanging="360"/>
      </w:pPr>
      <w:rPr>
        <w:rFonts w:ascii="Courier New" w:hAnsi="Courier New" w:cs="Courier New" w:hint="default"/>
      </w:rPr>
    </w:lvl>
    <w:lvl w:ilvl="5" w:tplc="10000005" w:tentative="1">
      <w:start w:val="1"/>
      <w:numFmt w:val="bullet"/>
      <w:lvlText w:val=""/>
      <w:lvlJc w:val="left"/>
      <w:pPr>
        <w:ind w:left="4717" w:hanging="360"/>
      </w:pPr>
      <w:rPr>
        <w:rFonts w:ascii="Wingdings" w:hAnsi="Wingdings" w:hint="default"/>
      </w:rPr>
    </w:lvl>
    <w:lvl w:ilvl="6" w:tplc="10000001" w:tentative="1">
      <w:start w:val="1"/>
      <w:numFmt w:val="bullet"/>
      <w:lvlText w:val=""/>
      <w:lvlJc w:val="left"/>
      <w:pPr>
        <w:ind w:left="5437" w:hanging="360"/>
      </w:pPr>
      <w:rPr>
        <w:rFonts w:ascii="Symbol" w:hAnsi="Symbol" w:hint="default"/>
      </w:rPr>
    </w:lvl>
    <w:lvl w:ilvl="7" w:tplc="10000003" w:tentative="1">
      <w:start w:val="1"/>
      <w:numFmt w:val="bullet"/>
      <w:lvlText w:val="o"/>
      <w:lvlJc w:val="left"/>
      <w:pPr>
        <w:ind w:left="6157" w:hanging="360"/>
      </w:pPr>
      <w:rPr>
        <w:rFonts w:ascii="Courier New" w:hAnsi="Courier New" w:cs="Courier New" w:hint="default"/>
      </w:rPr>
    </w:lvl>
    <w:lvl w:ilvl="8" w:tplc="10000005" w:tentative="1">
      <w:start w:val="1"/>
      <w:numFmt w:val="bullet"/>
      <w:lvlText w:val=""/>
      <w:lvlJc w:val="left"/>
      <w:pPr>
        <w:ind w:left="6877" w:hanging="360"/>
      </w:pPr>
      <w:rPr>
        <w:rFonts w:ascii="Wingdings" w:hAnsi="Wingdings" w:hint="default"/>
      </w:rPr>
    </w:lvl>
  </w:abstractNum>
  <w:abstractNum w:abstractNumId="19" w15:restartNumberingAfterBreak="0">
    <w:nsid w:val="21102920"/>
    <w:multiLevelType w:val="multilevel"/>
    <w:tmpl w:val="2000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25E2184B"/>
    <w:multiLevelType w:val="hybridMultilevel"/>
    <w:tmpl w:val="CCD21A06"/>
    <w:lvl w:ilvl="0" w:tplc="BDB2ED62">
      <w:start w:val="1"/>
      <w:numFmt w:val="lowerRoman"/>
      <w:lvlText w:val="%1."/>
      <w:lvlJc w:val="left"/>
      <w:pPr>
        <w:ind w:left="1211" w:hanging="360"/>
      </w:pPr>
      <w:rPr>
        <w:rFonts w:hint="default"/>
      </w:rPr>
    </w:lvl>
    <w:lvl w:ilvl="1" w:tplc="10000019" w:tentative="1">
      <w:start w:val="1"/>
      <w:numFmt w:val="lowerLetter"/>
      <w:lvlText w:val="%2."/>
      <w:lvlJc w:val="left"/>
      <w:pPr>
        <w:ind w:left="2291" w:hanging="360"/>
      </w:pPr>
    </w:lvl>
    <w:lvl w:ilvl="2" w:tplc="1000001B" w:tentative="1">
      <w:start w:val="1"/>
      <w:numFmt w:val="lowerRoman"/>
      <w:lvlText w:val="%3."/>
      <w:lvlJc w:val="right"/>
      <w:pPr>
        <w:ind w:left="3011" w:hanging="180"/>
      </w:pPr>
    </w:lvl>
    <w:lvl w:ilvl="3" w:tplc="1000000F" w:tentative="1">
      <w:start w:val="1"/>
      <w:numFmt w:val="decimal"/>
      <w:lvlText w:val="%4."/>
      <w:lvlJc w:val="left"/>
      <w:pPr>
        <w:ind w:left="3731" w:hanging="360"/>
      </w:pPr>
    </w:lvl>
    <w:lvl w:ilvl="4" w:tplc="10000019" w:tentative="1">
      <w:start w:val="1"/>
      <w:numFmt w:val="lowerLetter"/>
      <w:lvlText w:val="%5."/>
      <w:lvlJc w:val="left"/>
      <w:pPr>
        <w:ind w:left="4451" w:hanging="360"/>
      </w:pPr>
    </w:lvl>
    <w:lvl w:ilvl="5" w:tplc="1000001B" w:tentative="1">
      <w:start w:val="1"/>
      <w:numFmt w:val="lowerRoman"/>
      <w:lvlText w:val="%6."/>
      <w:lvlJc w:val="right"/>
      <w:pPr>
        <w:ind w:left="5171" w:hanging="180"/>
      </w:pPr>
    </w:lvl>
    <w:lvl w:ilvl="6" w:tplc="1000000F" w:tentative="1">
      <w:start w:val="1"/>
      <w:numFmt w:val="decimal"/>
      <w:lvlText w:val="%7."/>
      <w:lvlJc w:val="left"/>
      <w:pPr>
        <w:ind w:left="5891" w:hanging="360"/>
      </w:pPr>
    </w:lvl>
    <w:lvl w:ilvl="7" w:tplc="10000019" w:tentative="1">
      <w:start w:val="1"/>
      <w:numFmt w:val="lowerLetter"/>
      <w:lvlText w:val="%8."/>
      <w:lvlJc w:val="left"/>
      <w:pPr>
        <w:ind w:left="6611" w:hanging="360"/>
      </w:pPr>
    </w:lvl>
    <w:lvl w:ilvl="8" w:tplc="1000001B" w:tentative="1">
      <w:start w:val="1"/>
      <w:numFmt w:val="lowerRoman"/>
      <w:lvlText w:val="%9."/>
      <w:lvlJc w:val="right"/>
      <w:pPr>
        <w:ind w:left="7331" w:hanging="180"/>
      </w:pPr>
    </w:lvl>
  </w:abstractNum>
  <w:abstractNum w:abstractNumId="21" w15:restartNumberingAfterBreak="0">
    <w:nsid w:val="2CE74666"/>
    <w:multiLevelType w:val="hybridMultilevel"/>
    <w:tmpl w:val="E3E8F104"/>
    <w:lvl w:ilvl="0" w:tplc="59429966">
      <w:start w:val="1"/>
      <w:numFmt w:val="bullet"/>
      <w:pStyle w:val="Bull-1"/>
      <w:lvlText w:val=""/>
      <w:lvlJc w:val="left"/>
      <w:pPr>
        <w:ind w:left="1553" w:hanging="360"/>
      </w:pPr>
      <w:rPr>
        <w:rFonts w:ascii="Wingdings" w:hAnsi="Wingdings" w:hint="default"/>
        <w:sz w:val="20"/>
      </w:rPr>
    </w:lvl>
    <w:lvl w:ilvl="1" w:tplc="10000003" w:tentative="1">
      <w:start w:val="1"/>
      <w:numFmt w:val="bullet"/>
      <w:lvlText w:val="o"/>
      <w:lvlJc w:val="left"/>
      <w:pPr>
        <w:ind w:left="2273" w:hanging="360"/>
      </w:pPr>
      <w:rPr>
        <w:rFonts w:ascii="Courier New" w:hAnsi="Courier New" w:cs="Courier New" w:hint="default"/>
      </w:rPr>
    </w:lvl>
    <w:lvl w:ilvl="2" w:tplc="10000005" w:tentative="1">
      <w:start w:val="1"/>
      <w:numFmt w:val="bullet"/>
      <w:lvlText w:val=""/>
      <w:lvlJc w:val="left"/>
      <w:pPr>
        <w:ind w:left="2993" w:hanging="360"/>
      </w:pPr>
      <w:rPr>
        <w:rFonts w:ascii="Wingdings" w:hAnsi="Wingdings" w:hint="default"/>
      </w:rPr>
    </w:lvl>
    <w:lvl w:ilvl="3" w:tplc="10000001" w:tentative="1">
      <w:start w:val="1"/>
      <w:numFmt w:val="bullet"/>
      <w:lvlText w:val=""/>
      <w:lvlJc w:val="left"/>
      <w:pPr>
        <w:ind w:left="3713" w:hanging="360"/>
      </w:pPr>
      <w:rPr>
        <w:rFonts w:ascii="Symbol" w:hAnsi="Symbol" w:hint="default"/>
      </w:rPr>
    </w:lvl>
    <w:lvl w:ilvl="4" w:tplc="10000003" w:tentative="1">
      <w:start w:val="1"/>
      <w:numFmt w:val="bullet"/>
      <w:lvlText w:val="o"/>
      <w:lvlJc w:val="left"/>
      <w:pPr>
        <w:ind w:left="4433" w:hanging="360"/>
      </w:pPr>
      <w:rPr>
        <w:rFonts w:ascii="Courier New" w:hAnsi="Courier New" w:cs="Courier New" w:hint="default"/>
      </w:rPr>
    </w:lvl>
    <w:lvl w:ilvl="5" w:tplc="10000005" w:tentative="1">
      <w:start w:val="1"/>
      <w:numFmt w:val="bullet"/>
      <w:lvlText w:val=""/>
      <w:lvlJc w:val="left"/>
      <w:pPr>
        <w:ind w:left="5153" w:hanging="360"/>
      </w:pPr>
      <w:rPr>
        <w:rFonts w:ascii="Wingdings" w:hAnsi="Wingdings" w:hint="default"/>
      </w:rPr>
    </w:lvl>
    <w:lvl w:ilvl="6" w:tplc="10000001" w:tentative="1">
      <w:start w:val="1"/>
      <w:numFmt w:val="bullet"/>
      <w:lvlText w:val=""/>
      <w:lvlJc w:val="left"/>
      <w:pPr>
        <w:ind w:left="5873" w:hanging="360"/>
      </w:pPr>
      <w:rPr>
        <w:rFonts w:ascii="Symbol" w:hAnsi="Symbol" w:hint="default"/>
      </w:rPr>
    </w:lvl>
    <w:lvl w:ilvl="7" w:tplc="10000003" w:tentative="1">
      <w:start w:val="1"/>
      <w:numFmt w:val="bullet"/>
      <w:lvlText w:val="o"/>
      <w:lvlJc w:val="left"/>
      <w:pPr>
        <w:ind w:left="6593" w:hanging="360"/>
      </w:pPr>
      <w:rPr>
        <w:rFonts w:ascii="Courier New" w:hAnsi="Courier New" w:cs="Courier New" w:hint="default"/>
      </w:rPr>
    </w:lvl>
    <w:lvl w:ilvl="8" w:tplc="10000005" w:tentative="1">
      <w:start w:val="1"/>
      <w:numFmt w:val="bullet"/>
      <w:lvlText w:val=""/>
      <w:lvlJc w:val="left"/>
      <w:pPr>
        <w:ind w:left="7313" w:hanging="360"/>
      </w:pPr>
      <w:rPr>
        <w:rFonts w:ascii="Wingdings" w:hAnsi="Wingdings" w:hint="default"/>
      </w:rPr>
    </w:lvl>
  </w:abstractNum>
  <w:abstractNum w:abstractNumId="22" w15:restartNumberingAfterBreak="0">
    <w:nsid w:val="3481734B"/>
    <w:multiLevelType w:val="hybridMultilevel"/>
    <w:tmpl w:val="CC94FC66"/>
    <w:lvl w:ilvl="0" w:tplc="D86C4EBE">
      <w:start w:val="1"/>
      <w:numFmt w:val="decimal"/>
      <w:pStyle w:val="REFs"/>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23" w15:restartNumberingAfterBreak="0">
    <w:nsid w:val="36336E00"/>
    <w:multiLevelType w:val="hybridMultilevel"/>
    <w:tmpl w:val="7B3E888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6B75617"/>
    <w:multiLevelType w:val="hybridMultilevel"/>
    <w:tmpl w:val="33349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3A1E577B"/>
    <w:multiLevelType w:val="hybridMultilevel"/>
    <w:tmpl w:val="BE8E0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A7D1805"/>
    <w:multiLevelType w:val="multilevel"/>
    <w:tmpl w:val="7FCE9BF4"/>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7" w15:restartNumberingAfterBreak="0">
    <w:nsid w:val="4BF3005F"/>
    <w:multiLevelType w:val="multilevel"/>
    <w:tmpl w:val="3C02A638"/>
    <w:numStyleLink w:val="LFO3"/>
  </w:abstractNum>
  <w:abstractNum w:abstractNumId="28" w15:restartNumberingAfterBreak="0">
    <w:nsid w:val="4F2C032C"/>
    <w:multiLevelType w:val="hybridMultilevel"/>
    <w:tmpl w:val="B128E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3B54E7"/>
    <w:multiLevelType w:val="multilevel"/>
    <w:tmpl w:val="B916044C"/>
    <w:styleLink w:val="LFO5"/>
    <w:lvl w:ilvl="0">
      <w:start w:val="1"/>
      <w:numFmt w:val="decimal"/>
      <w:lvlText w:val="%1."/>
      <w:lvlJc w:val="left"/>
      <w:pPr>
        <w:ind w:left="397" w:hanging="284"/>
      </w:pPr>
    </w:lvl>
    <w:lvl w:ilvl="1">
      <w:start w:val="1"/>
      <w:numFmt w:val="lowerLetter"/>
      <w:lvlText w:val="%2)"/>
      <w:lvlJc w:val="left"/>
      <w:pPr>
        <w:ind w:left="680" w:hanging="283"/>
      </w:pPr>
    </w:lvl>
    <w:lvl w:ilvl="2">
      <w:start w:val="1"/>
      <w:numFmt w:val="lowerRoman"/>
      <w:lvlText w:val="(%3)"/>
      <w:lvlJc w:val="left"/>
      <w:pPr>
        <w:ind w:left="964" w:hanging="284"/>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0" w15:restartNumberingAfterBreak="0">
    <w:nsid w:val="5905701B"/>
    <w:multiLevelType w:val="hybridMultilevel"/>
    <w:tmpl w:val="333498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C803AB4"/>
    <w:multiLevelType w:val="multilevel"/>
    <w:tmpl w:val="E88AB83C"/>
    <w:lvl w:ilvl="0">
      <w:start w:val="1"/>
      <w:numFmt w:val="decimal"/>
      <w:pStyle w:val="Num-1"/>
      <w:lvlText w:val="%1."/>
      <w:lvlJc w:val="left"/>
      <w:pPr>
        <w:ind w:left="510" w:hanging="340"/>
      </w:pPr>
      <w:rPr>
        <w:rFonts w:hint="default"/>
      </w:rPr>
    </w:lvl>
    <w:lvl w:ilvl="1">
      <w:start w:val="1"/>
      <w:numFmt w:val="lowerLetter"/>
      <w:pStyle w:val="Num-2"/>
      <w:lvlText w:val="%2."/>
      <w:lvlJc w:val="left"/>
      <w:pPr>
        <w:ind w:left="851" w:hanging="341"/>
      </w:pPr>
      <w:rPr>
        <w:rFonts w:hint="default"/>
      </w:rPr>
    </w:lvl>
    <w:lvl w:ilvl="2">
      <w:start w:val="1"/>
      <w:numFmt w:val="lowerRoman"/>
      <w:pStyle w:val="Num-3"/>
      <w:lvlText w:val="%3."/>
      <w:lvlJc w:val="left"/>
      <w:pPr>
        <w:ind w:left="1191" w:hanging="340"/>
      </w:pPr>
      <w:rPr>
        <w:rFonts w:hint="default"/>
      </w:rPr>
    </w:lvl>
    <w:lvl w:ilvl="3">
      <w:start w:val="1"/>
      <w:numFmt w:val="decimal"/>
      <w:lvlText w:val="(%4)"/>
      <w:lvlJc w:val="left"/>
      <w:pPr>
        <w:ind w:left="1531" w:hanging="34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6EA73EFC"/>
    <w:multiLevelType w:val="multilevel"/>
    <w:tmpl w:val="3912CED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72F027DF"/>
    <w:multiLevelType w:val="hybridMultilevel"/>
    <w:tmpl w:val="8DFEDD5C"/>
    <w:lvl w:ilvl="0" w:tplc="DEF05E3E">
      <w:start w:val="1"/>
      <w:numFmt w:val="lowerLetter"/>
      <w:lvlText w:val="%1."/>
      <w:lvlJc w:val="left"/>
      <w:pPr>
        <w:ind w:left="1230" w:hanging="360"/>
      </w:pPr>
    </w:lvl>
    <w:lvl w:ilvl="1" w:tplc="10000019" w:tentative="1">
      <w:start w:val="1"/>
      <w:numFmt w:val="lowerLetter"/>
      <w:lvlText w:val="%2."/>
      <w:lvlJc w:val="left"/>
      <w:pPr>
        <w:ind w:left="1950" w:hanging="360"/>
      </w:pPr>
    </w:lvl>
    <w:lvl w:ilvl="2" w:tplc="1000001B" w:tentative="1">
      <w:start w:val="1"/>
      <w:numFmt w:val="lowerRoman"/>
      <w:lvlText w:val="%3."/>
      <w:lvlJc w:val="right"/>
      <w:pPr>
        <w:ind w:left="2670" w:hanging="180"/>
      </w:pPr>
    </w:lvl>
    <w:lvl w:ilvl="3" w:tplc="1000000F" w:tentative="1">
      <w:start w:val="1"/>
      <w:numFmt w:val="decimal"/>
      <w:lvlText w:val="%4."/>
      <w:lvlJc w:val="left"/>
      <w:pPr>
        <w:ind w:left="3390" w:hanging="360"/>
      </w:pPr>
    </w:lvl>
    <w:lvl w:ilvl="4" w:tplc="10000019" w:tentative="1">
      <w:start w:val="1"/>
      <w:numFmt w:val="lowerLetter"/>
      <w:lvlText w:val="%5."/>
      <w:lvlJc w:val="left"/>
      <w:pPr>
        <w:ind w:left="4110" w:hanging="360"/>
      </w:pPr>
    </w:lvl>
    <w:lvl w:ilvl="5" w:tplc="1000001B" w:tentative="1">
      <w:start w:val="1"/>
      <w:numFmt w:val="lowerRoman"/>
      <w:lvlText w:val="%6."/>
      <w:lvlJc w:val="right"/>
      <w:pPr>
        <w:ind w:left="4830" w:hanging="180"/>
      </w:pPr>
    </w:lvl>
    <w:lvl w:ilvl="6" w:tplc="1000000F" w:tentative="1">
      <w:start w:val="1"/>
      <w:numFmt w:val="decimal"/>
      <w:lvlText w:val="%7."/>
      <w:lvlJc w:val="left"/>
      <w:pPr>
        <w:ind w:left="5550" w:hanging="360"/>
      </w:pPr>
    </w:lvl>
    <w:lvl w:ilvl="7" w:tplc="10000019" w:tentative="1">
      <w:start w:val="1"/>
      <w:numFmt w:val="lowerLetter"/>
      <w:lvlText w:val="%8."/>
      <w:lvlJc w:val="left"/>
      <w:pPr>
        <w:ind w:left="6270" w:hanging="360"/>
      </w:pPr>
    </w:lvl>
    <w:lvl w:ilvl="8" w:tplc="1000001B" w:tentative="1">
      <w:start w:val="1"/>
      <w:numFmt w:val="lowerRoman"/>
      <w:lvlText w:val="%9."/>
      <w:lvlJc w:val="right"/>
      <w:pPr>
        <w:ind w:left="6990" w:hanging="180"/>
      </w:pPr>
    </w:lvl>
  </w:abstractNum>
  <w:abstractNum w:abstractNumId="34" w15:restartNumberingAfterBreak="0">
    <w:nsid w:val="72F16A89"/>
    <w:multiLevelType w:val="hybridMultilevel"/>
    <w:tmpl w:val="BD504074"/>
    <w:lvl w:ilvl="0" w:tplc="0A5A732C">
      <w:start w:val="1"/>
      <w:numFmt w:val="bullet"/>
      <w:lvlText w:val=""/>
      <w:lvlJc w:val="left"/>
      <w:pPr>
        <w:ind w:left="1497" w:hanging="360"/>
      </w:pPr>
      <w:rPr>
        <w:rFonts w:ascii="Wingdings" w:hAnsi="Wingdings" w:hint="default"/>
        <w:sz w:val="20"/>
      </w:rPr>
    </w:lvl>
    <w:lvl w:ilvl="1" w:tplc="10000003" w:tentative="1">
      <w:start w:val="1"/>
      <w:numFmt w:val="bullet"/>
      <w:lvlText w:val="o"/>
      <w:lvlJc w:val="left"/>
      <w:pPr>
        <w:ind w:left="2217" w:hanging="360"/>
      </w:pPr>
      <w:rPr>
        <w:rFonts w:ascii="Courier New" w:hAnsi="Courier New" w:cs="Courier New" w:hint="default"/>
      </w:rPr>
    </w:lvl>
    <w:lvl w:ilvl="2" w:tplc="10000005" w:tentative="1">
      <w:start w:val="1"/>
      <w:numFmt w:val="bullet"/>
      <w:lvlText w:val=""/>
      <w:lvlJc w:val="left"/>
      <w:pPr>
        <w:ind w:left="2937" w:hanging="360"/>
      </w:pPr>
      <w:rPr>
        <w:rFonts w:ascii="Wingdings" w:hAnsi="Wingdings" w:hint="default"/>
      </w:rPr>
    </w:lvl>
    <w:lvl w:ilvl="3" w:tplc="10000001" w:tentative="1">
      <w:start w:val="1"/>
      <w:numFmt w:val="bullet"/>
      <w:lvlText w:val=""/>
      <w:lvlJc w:val="left"/>
      <w:pPr>
        <w:ind w:left="3657" w:hanging="360"/>
      </w:pPr>
      <w:rPr>
        <w:rFonts w:ascii="Symbol" w:hAnsi="Symbol" w:hint="default"/>
      </w:rPr>
    </w:lvl>
    <w:lvl w:ilvl="4" w:tplc="10000003" w:tentative="1">
      <w:start w:val="1"/>
      <w:numFmt w:val="bullet"/>
      <w:lvlText w:val="o"/>
      <w:lvlJc w:val="left"/>
      <w:pPr>
        <w:ind w:left="4377" w:hanging="360"/>
      </w:pPr>
      <w:rPr>
        <w:rFonts w:ascii="Courier New" w:hAnsi="Courier New" w:cs="Courier New" w:hint="default"/>
      </w:rPr>
    </w:lvl>
    <w:lvl w:ilvl="5" w:tplc="10000005" w:tentative="1">
      <w:start w:val="1"/>
      <w:numFmt w:val="bullet"/>
      <w:lvlText w:val=""/>
      <w:lvlJc w:val="left"/>
      <w:pPr>
        <w:ind w:left="5097" w:hanging="360"/>
      </w:pPr>
      <w:rPr>
        <w:rFonts w:ascii="Wingdings" w:hAnsi="Wingdings" w:hint="default"/>
      </w:rPr>
    </w:lvl>
    <w:lvl w:ilvl="6" w:tplc="10000001" w:tentative="1">
      <w:start w:val="1"/>
      <w:numFmt w:val="bullet"/>
      <w:lvlText w:val=""/>
      <w:lvlJc w:val="left"/>
      <w:pPr>
        <w:ind w:left="5817" w:hanging="360"/>
      </w:pPr>
      <w:rPr>
        <w:rFonts w:ascii="Symbol" w:hAnsi="Symbol" w:hint="default"/>
      </w:rPr>
    </w:lvl>
    <w:lvl w:ilvl="7" w:tplc="10000003" w:tentative="1">
      <w:start w:val="1"/>
      <w:numFmt w:val="bullet"/>
      <w:lvlText w:val="o"/>
      <w:lvlJc w:val="left"/>
      <w:pPr>
        <w:ind w:left="6537" w:hanging="360"/>
      </w:pPr>
      <w:rPr>
        <w:rFonts w:ascii="Courier New" w:hAnsi="Courier New" w:cs="Courier New" w:hint="default"/>
      </w:rPr>
    </w:lvl>
    <w:lvl w:ilvl="8" w:tplc="10000005" w:tentative="1">
      <w:start w:val="1"/>
      <w:numFmt w:val="bullet"/>
      <w:lvlText w:val=""/>
      <w:lvlJc w:val="left"/>
      <w:pPr>
        <w:ind w:left="7257" w:hanging="360"/>
      </w:pPr>
      <w:rPr>
        <w:rFonts w:ascii="Wingdings" w:hAnsi="Wingdings" w:hint="default"/>
      </w:rPr>
    </w:lvl>
  </w:abstractNum>
  <w:abstractNum w:abstractNumId="35" w15:restartNumberingAfterBreak="0">
    <w:nsid w:val="732779FB"/>
    <w:multiLevelType w:val="multilevel"/>
    <w:tmpl w:val="3C02A638"/>
    <w:styleLink w:val="LFO3"/>
    <w:lvl w:ilvl="0">
      <w:numFmt w:val="bullet"/>
      <w:lvlText w:val=""/>
      <w:lvlJc w:val="left"/>
      <w:pPr>
        <w:ind w:left="397" w:hanging="284"/>
      </w:pPr>
      <w:rPr>
        <w:rFonts w:ascii="Wingdings" w:hAnsi="Wingdings"/>
      </w:rPr>
    </w:lvl>
    <w:lvl w:ilvl="1">
      <w:numFmt w:val="bullet"/>
      <w:lvlText w:val=""/>
      <w:lvlJc w:val="left"/>
      <w:pPr>
        <w:ind w:left="680" w:hanging="283"/>
      </w:pPr>
      <w:rPr>
        <w:rFonts w:ascii="Wingdings" w:hAnsi="Wingdings"/>
      </w:rPr>
    </w:lvl>
    <w:lvl w:ilvl="2">
      <w:numFmt w:val="bullet"/>
      <w:lvlText w:val=""/>
      <w:lvlJc w:val="left"/>
      <w:pPr>
        <w:ind w:left="964" w:hanging="284"/>
      </w:pPr>
      <w:rPr>
        <w:rFonts w:ascii="Wingdings" w:hAnsi="Wingdings"/>
      </w:rPr>
    </w:lvl>
    <w:lvl w:ilvl="3">
      <w:numFmt w:val="bullet"/>
      <w:lvlText w:val=""/>
      <w:lvlJc w:val="left"/>
      <w:pPr>
        <w:ind w:left="2993" w:hanging="360"/>
      </w:pPr>
      <w:rPr>
        <w:rFonts w:ascii="Symbol" w:hAnsi="Symbol"/>
      </w:rPr>
    </w:lvl>
    <w:lvl w:ilvl="4">
      <w:numFmt w:val="bullet"/>
      <w:lvlText w:val="o"/>
      <w:lvlJc w:val="left"/>
      <w:pPr>
        <w:ind w:left="3713" w:hanging="360"/>
      </w:pPr>
      <w:rPr>
        <w:rFonts w:ascii="Courier New" w:hAnsi="Courier New" w:cs="Courier New"/>
      </w:rPr>
    </w:lvl>
    <w:lvl w:ilvl="5">
      <w:numFmt w:val="bullet"/>
      <w:lvlText w:val=""/>
      <w:lvlJc w:val="left"/>
      <w:pPr>
        <w:ind w:left="4433" w:hanging="360"/>
      </w:pPr>
      <w:rPr>
        <w:rFonts w:ascii="Wingdings" w:hAnsi="Wingdings"/>
      </w:rPr>
    </w:lvl>
    <w:lvl w:ilvl="6">
      <w:numFmt w:val="bullet"/>
      <w:lvlText w:val=""/>
      <w:lvlJc w:val="left"/>
      <w:pPr>
        <w:ind w:left="5153" w:hanging="360"/>
      </w:pPr>
      <w:rPr>
        <w:rFonts w:ascii="Symbol" w:hAnsi="Symbol"/>
      </w:rPr>
    </w:lvl>
    <w:lvl w:ilvl="7">
      <w:numFmt w:val="bullet"/>
      <w:lvlText w:val="o"/>
      <w:lvlJc w:val="left"/>
      <w:pPr>
        <w:ind w:left="5873" w:hanging="360"/>
      </w:pPr>
      <w:rPr>
        <w:rFonts w:ascii="Courier New" w:hAnsi="Courier New" w:cs="Courier New"/>
      </w:rPr>
    </w:lvl>
    <w:lvl w:ilvl="8">
      <w:numFmt w:val="bullet"/>
      <w:lvlText w:val=""/>
      <w:lvlJc w:val="left"/>
      <w:pPr>
        <w:ind w:left="6593" w:hanging="360"/>
      </w:pPr>
      <w:rPr>
        <w:rFonts w:ascii="Wingdings" w:hAnsi="Wingdings"/>
      </w:rPr>
    </w:lvl>
  </w:abstractNum>
  <w:abstractNum w:abstractNumId="36" w15:restartNumberingAfterBreak="0">
    <w:nsid w:val="740238DD"/>
    <w:multiLevelType w:val="hybridMultilevel"/>
    <w:tmpl w:val="65887BFE"/>
    <w:lvl w:ilvl="0" w:tplc="6408DCA2">
      <w:start w:val="1"/>
      <w:numFmt w:val="bullet"/>
      <w:lvlText w:val=""/>
      <w:lvlJc w:val="left"/>
      <w:pPr>
        <w:ind w:left="833" w:hanging="360"/>
      </w:pPr>
      <w:rPr>
        <w:rFonts w:ascii="Wingdings" w:hAnsi="Wingdings" w:hint="default"/>
        <w:sz w:val="20"/>
      </w:rPr>
    </w:lvl>
    <w:lvl w:ilvl="1" w:tplc="10000003" w:tentative="1">
      <w:start w:val="1"/>
      <w:numFmt w:val="bullet"/>
      <w:lvlText w:val="o"/>
      <w:lvlJc w:val="left"/>
      <w:pPr>
        <w:ind w:left="1553" w:hanging="360"/>
      </w:pPr>
      <w:rPr>
        <w:rFonts w:ascii="Courier New" w:hAnsi="Courier New" w:cs="Courier New" w:hint="default"/>
      </w:rPr>
    </w:lvl>
    <w:lvl w:ilvl="2" w:tplc="10000005" w:tentative="1">
      <w:start w:val="1"/>
      <w:numFmt w:val="bullet"/>
      <w:lvlText w:val=""/>
      <w:lvlJc w:val="left"/>
      <w:pPr>
        <w:ind w:left="2273" w:hanging="360"/>
      </w:pPr>
      <w:rPr>
        <w:rFonts w:ascii="Wingdings" w:hAnsi="Wingdings" w:hint="default"/>
      </w:rPr>
    </w:lvl>
    <w:lvl w:ilvl="3" w:tplc="10000001" w:tentative="1">
      <w:start w:val="1"/>
      <w:numFmt w:val="bullet"/>
      <w:lvlText w:val=""/>
      <w:lvlJc w:val="left"/>
      <w:pPr>
        <w:ind w:left="2993" w:hanging="360"/>
      </w:pPr>
      <w:rPr>
        <w:rFonts w:ascii="Symbol" w:hAnsi="Symbol" w:hint="default"/>
      </w:rPr>
    </w:lvl>
    <w:lvl w:ilvl="4" w:tplc="10000003" w:tentative="1">
      <w:start w:val="1"/>
      <w:numFmt w:val="bullet"/>
      <w:lvlText w:val="o"/>
      <w:lvlJc w:val="left"/>
      <w:pPr>
        <w:ind w:left="3713" w:hanging="360"/>
      </w:pPr>
      <w:rPr>
        <w:rFonts w:ascii="Courier New" w:hAnsi="Courier New" w:cs="Courier New" w:hint="default"/>
      </w:rPr>
    </w:lvl>
    <w:lvl w:ilvl="5" w:tplc="10000005" w:tentative="1">
      <w:start w:val="1"/>
      <w:numFmt w:val="bullet"/>
      <w:lvlText w:val=""/>
      <w:lvlJc w:val="left"/>
      <w:pPr>
        <w:ind w:left="4433" w:hanging="360"/>
      </w:pPr>
      <w:rPr>
        <w:rFonts w:ascii="Wingdings" w:hAnsi="Wingdings" w:hint="default"/>
      </w:rPr>
    </w:lvl>
    <w:lvl w:ilvl="6" w:tplc="10000001" w:tentative="1">
      <w:start w:val="1"/>
      <w:numFmt w:val="bullet"/>
      <w:lvlText w:val=""/>
      <w:lvlJc w:val="left"/>
      <w:pPr>
        <w:ind w:left="5153" w:hanging="360"/>
      </w:pPr>
      <w:rPr>
        <w:rFonts w:ascii="Symbol" w:hAnsi="Symbol" w:hint="default"/>
      </w:rPr>
    </w:lvl>
    <w:lvl w:ilvl="7" w:tplc="10000003" w:tentative="1">
      <w:start w:val="1"/>
      <w:numFmt w:val="bullet"/>
      <w:lvlText w:val="o"/>
      <w:lvlJc w:val="left"/>
      <w:pPr>
        <w:ind w:left="5873" w:hanging="360"/>
      </w:pPr>
      <w:rPr>
        <w:rFonts w:ascii="Courier New" w:hAnsi="Courier New" w:cs="Courier New" w:hint="default"/>
      </w:rPr>
    </w:lvl>
    <w:lvl w:ilvl="8" w:tplc="10000005" w:tentative="1">
      <w:start w:val="1"/>
      <w:numFmt w:val="bullet"/>
      <w:lvlText w:val=""/>
      <w:lvlJc w:val="left"/>
      <w:pPr>
        <w:ind w:left="6593" w:hanging="360"/>
      </w:pPr>
      <w:rPr>
        <w:rFonts w:ascii="Wingdings" w:hAnsi="Wingdings" w:hint="default"/>
      </w:rPr>
    </w:lvl>
  </w:abstractNum>
  <w:abstractNum w:abstractNumId="37" w15:restartNumberingAfterBreak="0">
    <w:nsid w:val="783606DF"/>
    <w:multiLevelType w:val="hybridMultilevel"/>
    <w:tmpl w:val="AC8CF2AC"/>
    <w:lvl w:ilvl="0" w:tplc="AF96B218">
      <w:numFmt w:val="bullet"/>
      <w:lvlText w:val=""/>
      <w:lvlJc w:val="left"/>
      <w:pPr>
        <w:ind w:left="1571" w:hanging="360"/>
      </w:pPr>
      <w:rPr>
        <w:rFonts w:ascii="Wingdings" w:eastAsia="Calibri" w:hAnsi="Wingdings" w:hint="default"/>
      </w:rPr>
    </w:lvl>
    <w:lvl w:ilvl="1" w:tplc="10000003" w:tentative="1">
      <w:start w:val="1"/>
      <w:numFmt w:val="bullet"/>
      <w:lvlText w:val="o"/>
      <w:lvlJc w:val="left"/>
      <w:pPr>
        <w:ind w:left="2291" w:hanging="360"/>
      </w:pPr>
      <w:rPr>
        <w:rFonts w:ascii="Courier New" w:hAnsi="Courier New" w:cs="Courier New" w:hint="default"/>
      </w:rPr>
    </w:lvl>
    <w:lvl w:ilvl="2" w:tplc="10000005" w:tentative="1">
      <w:start w:val="1"/>
      <w:numFmt w:val="bullet"/>
      <w:lvlText w:val=""/>
      <w:lvlJc w:val="left"/>
      <w:pPr>
        <w:ind w:left="3011" w:hanging="360"/>
      </w:pPr>
      <w:rPr>
        <w:rFonts w:ascii="Wingdings" w:hAnsi="Wingdings" w:hint="default"/>
      </w:rPr>
    </w:lvl>
    <w:lvl w:ilvl="3" w:tplc="10000001" w:tentative="1">
      <w:start w:val="1"/>
      <w:numFmt w:val="bullet"/>
      <w:lvlText w:val=""/>
      <w:lvlJc w:val="left"/>
      <w:pPr>
        <w:ind w:left="3731" w:hanging="360"/>
      </w:pPr>
      <w:rPr>
        <w:rFonts w:ascii="Symbol" w:hAnsi="Symbol" w:hint="default"/>
      </w:rPr>
    </w:lvl>
    <w:lvl w:ilvl="4" w:tplc="10000003" w:tentative="1">
      <w:start w:val="1"/>
      <w:numFmt w:val="bullet"/>
      <w:lvlText w:val="o"/>
      <w:lvlJc w:val="left"/>
      <w:pPr>
        <w:ind w:left="4451" w:hanging="360"/>
      </w:pPr>
      <w:rPr>
        <w:rFonts w:ascii="Courier New" w:hAnsi="Courier New" w:cs="Courier New" w:hint="default"/>
      </w:rPr>
    </w:lvl>
    <w:lvl w:ilvl="5" w:tplc="10000005" w:tentative="1">
      <w:start w:val="1"/>
      <w:numFmt w:val="bullet"/>
      <w:lvlText w:val=""/>
      <w:lvlJc w:val="left"/>
      <w:pPr>
        <w:ind w:left="5171" w:hanging="360"/>
      </w:pPr>
      <w:rPr>
        <w:rFonts w:ascii="Wingdings" w:hAnsi="Wingdings" w:hint="default"/>
      </w:rPr>
    </w:lvl>
    <w:lvl w:ilvl="6" w:tplc="10000001" w:tentative="1">
      <w:start w:val="1"/>
      <w:numFmt w:val="bullet"/>
      <w:lvlText w:val=""/>
      <w:lvlJc w:val="left"/>
      <w:pPr>
        <w:ind w:left="5891" w:hanging="360"/>
      </w:pPr>
      <w:rPr>
        <w:rFonts w:ascii="Symbol" w:hAnsi="Symbol" w:hint="default"/>
      </w:rPr>
    </w:lvl>
    <w:lvl w:ilvl="7" w:tplc="10000003" w:tentative="1">
      <w:start w:val="1"/>
      <w:numFmt w:val="bullet"/>
      <w:lvlText w:val="o"/>
      <w:lvlJc w:val="left"/>
      <w:pPr>
        <w:ind w:left="6611" w:hanging="360"/>
      </w:pPr>
      <w:rPr>
        <w:rFonts w:ascii="Courier New" w:hAnsi="Courier New" w:cs="Courier New" w:hint="default"/>
      </w:rPr>
    </w:lvl>
    <w:lvl w:ilvl="8" w:tplc="10000005" w:tentative="1">
      <w:start w:val="1"/>
      <w:numFmt w:val="bullet"/>
      <w:lvlText w:val=""/>
      <w:lvlJc w:val="left"/>
      <w:pPr>
        <w:ind w:left="7331" w:hanging="360"/>
      </w:pPr>
      <w:rPr>
        <w:rFonts w:ascii="Wingdings" w:hAnsi="Wingdings" w:hint="default"/>
      </w:rPr>
    </w:lvl>
  </w:abstractNum>
  <w:abstractNum w:abstractNumId="38" w15:restartNumberingAfterBreak="0">
    <w:nsid w:val="7A3E7E9C"/>
    <w:multiLevelType w:val="hybridMultilevel"/>
    <w:tmpl w:val="174E762C"/>
    <w:lvl w:ilvl="0" w:tplc="AE1E20E2">
      <w:numFmt w:val="bullet"/>
      <w:pStyle w:val="Bull-3"/>
      <w:lvlText w:val=""/>
      <w:lvlJc w:val="left"/>
      <w:pPr>
        <w:ind w:left="1951" w:hanging="360"/>
      </w:pPr>
      <w:rPr>
        <w:rFonts w:ascii="Wingdings" w:eastAsia="Calibri" w:hAnsi="Wingdings" w:hint="default"/>
      </w:rPr>
    </w:lvl>
    <w:lvl w:ilvl="1" w:tplc="10000003" w:tentative="1">
      <w:start w:val="1"/>
      <w:numFmt w:val="bullet"/>
      <w:lvlText w:val="o"/>
      <w:lvlJc w:val="left"/>
      <w:pPr>
        <w:ind w:left="2671" w:hanging="360"/>
      </w:pPr>
      <w:rPr>
        <w:rFonts w:ascii="Courier New" w:hAnsi="Courier New" w:cs="Courier New" w:hint="default"/>
      </w:rPr>
    </w:lvl>
    <w:lvl w:ilvl="2" w:tplc="10000005" w:tentative="1">
      <w:start w:val="1"/>
      <w:numFmt w:val="bullet"/>
      <w:lvlText w:val=""/>
      <w:lvlJc w:val="left"/>
      <w:pPr>
        <w:ind w:left="3391" w:hanging="360"/>
      </w:pPr>
      <w:rPr>
        <w:rFonts w:ascii="Wingdings" w:hAnsi="Wingdings" w:hint="default"/>
      </w:rPr>
    </w:lvl>
    <w:lvl w:ilvl="3" w:tplc="10000001" w:tentative="1">
      <w:start w:val="1"/>
      <w:numFmt w:val="bullet"/>
      <w:lvlText w:val=""/>
      <w:lvlJc w:val="left"/>
      <w:pPr>
        <w:ind w:left="4111" w:hanging="360"/>
      </w:pPr>
      <w:rPr>
        <w:rFonts w:ascii="Symbol" w:hAnsi="Symbol" w:hint="default"/>
      </w:rPr>
    </w:lvl>
    <w:lvl w:ilvl="4" w:tplc="10000003" w:tentative="1">
      <w:start w:val="1"/>
      <w:numFmt w:val="bullet"/>
      <w:lvlText w:val="o"/>
      <w:lvlJc w:val="left"/>
      <w:pPr>
        <w:ind w:left="4831" w:hanging="360"/>
      </w:pPr>
      <w:rPr>
        <w:rFonts w:ascii="Courier New" w:hAnsi="Courier New" w:cs="Courier New" w:hint="default"/>
      </w:rPr>
    </w:lvl>
    <w:lvl w:ilvl="5" w:tplc="10000005" w:tentative="1">
      <w:start w:val="1"/>
      <w:numFmt w:val="bullet"/>
      <w:lvlText w:val=""/>
      <w:lvlJc w:val="left"/>
      <w:pPr>
        <w:ind w:left="5551" w:hanging="360"/>
      </w:pPr>
      <w:rPr>
        <w:rFonts w:ascii="Wingdings" w:hAnsi="Wingdings" w:hint="default"/>
      </w:rPr>
    </w:lvl>
    <w:lvl w:ilvl="6" w:tplc="10000001" w:tentative="1">
      <w:start w:val="1"/>
      <w:numFmt w:val="bullet"/>
      <w:lvlText w:val=""/>
      <w:lvlJc w:val="left"/>
      <w:pPr>
        <w:ind w:left="6271" w:hanging="360"/>
      </w:pPr>
      <w:rPr>
        <w:rFonts w:ascii="Symbol" w:hAnsi="Symbol" w:hint="default"/>
      </w:rPr>
    </w:lvl>
    <w:lvl w:ilvl="7" w:tplc="10000003" w:tentative="1">
      <w:start w:val="1"/>
      <w:numFmt w:val="bullet"/>
      <w:lvlText w:val="o"/>
      <w:lvlJc w:val="left"/>
      <w:pPr>
        <w:ind w:left="6991" w:hanging="360"/>
      </w:pPr>
      <w:rPr>
        <w:rFonts w:ascii="Courier New" w:hAnsi="Courier New" w:cs="Courier New" w:hint="default"/>
      </w:rPr>
    </w:lvl>
    <w:lvl w:ilvl="8" w:tplc="10000005" w:tentative="1">
      <w:start w:val="1"/>
      <w:numFmt w:val="bullet"/>
      <w:lvlText w:val=""/>
      <w:lvlJc w:val="left"/>
      <w:pPr>
        <w:ind w:left="7711" w:hanging="360"/>
      </w:pPr>
      <w:rPr>
        <w:rFonts w:ascii="Wingdings" w:hAnsi="Wingdings" w:hint="default"/>
      </w:rPr>
    </w:lvl>
  </w:abstractNum>
  <w:abstractNum w:abstractNumId="39" w15:restartNumberingAfterBreak="0">
    <w:nsid w:val="7D3B1A81"/>
    <w:multiLevelType w:val="hybridMultilevel"/>
    <w:tmpl w:val="E4866D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129082282">
    <w:abstractNumId w:val="11"/>
  </w:num>
  <w:num w:numId="2" w16cid:durableId="528684481">
    <w:abstractNumId w:val="19"/>
  </w:num>
  <w:num w:numId="3" w16cid:durableId="1462187077">
    <w:abstractNumId w:val="35"/>
  </w:num>
  <w:num w:numId="4" w16cid:durableId="172649062">
    <w:abstractNumId w:val="29"/>
  </w:num>
  <w:num w:numId="5" w16cid:durableId="1431586582">
    <w:abstractNumId w:val="12"/>
  </w:num>
  <w:num w:numId="6" w16cid:durableId="728965339">
    <w:abstractNumId w:val="9"/>
  </w:num>
  <w:num w:numId="7" w16cid:durableId="27724769">
    <w:abstractNumId w:val="7"/>
  </w:num>
  <w:num w:numId="8" w16cid:durableId="1959145935">
    <w:abstractNumId w:val="6"/>
  </w:num>
  <w:num w:numId="9" w16cid:durableId="596137676">
    <w:abstractNumId w:val="5"/>
  </w:num>
  <w:num w:numId="10" w16cid:durableId="649095945">
    <w:abstractNumId w:val="4"/>
  </w:num>
  <w:num w:numId="11" w16cid:durableId="1737118550">
    <w:abstractNumId w:val="8"/>
  </w:num>
  <w:num w:numId="12" w16cid:durableId="1038362071">
    <w:abstractNumId w:val="3"/>
  </w:num>
  <w:num w:numId="13" w16cid:durableId="1743410603">
    <w:abstractNumId w:val="2"/>
  </w:num>
  <w:num w:numId="14" w16cid:durableId="2066174043">
    <w:abstractNumId w:val="1"/>
  </w:num>
  <w:num w:numId="15" w16cid:durableId="1888754843">
    <w:abstractNumId w:val="0"/>
  </w:num>
  <w:num w:numId="16" w16cid:durableId="1992908623">
    <w:abstractNumId w:val="31"/>
  </w:num>
  <w:num w:numId="17" w16cid:durableId="1589925572">
    <w:abstractNumId w:val="27"/>
  </w:num>
  <w:num w:numId="18" w16cid:durableId="661664336">
    <w:abstractNumId w:val="36"/>
  </w:num>
  <w:num w:numId="19" w16cid:durableId="787428776">
    <w:abstractNumId w:val="18"/>
  </w:num>
  <w:num w:numId="20" w16cid:durableId="944655789">
    <w:abstractNumId w:val="17"/>
  </w:num>
  <w:num w:numId="21" w16cid:durableId="1994722417">
    <w:abstractNumId w:val="33"/>
  </w:num>
  <w:num w:numId="22" w16cid:durableId="1502044145">
    <w:abstractNumId w:val="20"/>
  </w:num>
  <w:num w:numId="23" w16cid:durableId="1811366428">
    <w:abstractNumId w:val="13"/>
  </w:num>
  <w:num w:numId="24" w16cid:durableId="910844476">
    <w:abstractNumId w:val="34"/>
  </w:num>
  <w:num w:numId="25" w16cid:durableId="1481119454">
    <w:abstractNumId w:val="37"/>
  </w:num>
  <w:num w:numId="26" w16cid:durableId="1426610345">
    <w:abstractNumId w:val="21"/>
  </w:num>
  <w:num w:numId="27" w16cid:durableId="907687450">
    <w:abstractNumId w:val="16"/>
  </w:num>
  <w:num w:numId="28" w16cid:durableId="1012991795">
    <w:abstractNumId w:val="38"/>
  </w:num>
  <w:num w:numId="29" w16cid:durableId="1181965483">
    <w:abstractNumId w:val="22"/>
  </w:num>
  <w:num w:numId="30" w16cid:durableId="1942108504">
    <w:abstractNumId w:val="32"/>
  </w:num>
  <w:num w:numId="31" w16cid:durableId="1292594423">
    <w:abstractNumId w:val="24"/>
  </w:num>
  <w:num w:numId="32" w16cid:durableId="803081544">
    <w:abstractNumId w:val="23"/>
  </w:num>
  <w:num w:numId="33" w16cid:durableId="162867234">
    <w:abstractNumId w:val="30"/>
  </w:num>
  <w:num w:numId="34" w16cid:durableId="1803033885">
    <w:abstractNumId w:val="28"/>
  </w:num>
  <w:num w:numId="35" w16cid:durableId="1615362645">
    <w:abstractNumId w:val="10"/>
  </w:num>
  <w:num w:numId="36" w16cid:durableId="1767531950">
    <w:abstractNumId w:val="15"/>
  </w:num>
  <w:num w:numId="37" w16cid:durableId="361978039">
    <w:abstractNumId w:val="39"/>
  </w:num>
  <w:num w:numId="38" w16cid:durableId="1836146652">
    <w:abstractNumId w:val="14"/>
  </w:num>
  <w:num w:numId="39" w16cid:durableId="2127503696">
    <w:abstractNumId w:val="19"/>
  </w:num>
  <w:num w:numId="40" w16cid:durableId="1154876925">
    <w:abstractNumId w:val="26"/>
  </w:num>
  <w:num w:numId="41" w16cid:durableId="1564635975">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attachedTemplate r:id="rId1"/>
  <w:stylePaneFormatFilter w:val="1708" w:allStyles="0" w:customStyles="0" w:latentStyles="0" w:stylesInUse="1" w:headingStyles="0"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I2MzSzsDA3NTOytDRV0lEKTi0uzszPAykwNKwFAGPjX10tAAAA"/>
  </w:docVars>
  <w:rsids>
    <w:rsidRoot w:val="00A170B6"/>
    <w:rsid w:val="000006EE"/>
    <w:rsid w:val="00001B9D"/>
    <w:rsid w:val="00001CEB"/>
    <w:rsid w:val="00004A54"/>
    <w:rsid w:val="00005AD0"/>
    <w:rsid w:val="00005CC3"/>
    <w:rsid w:val="00006313"/>
    <w:rsid w:val="00006836"/>
    <w:rsid w:val="00010A13"/>
    <w:rsid w:val="00010FC2"/>
    <w:rsid w:val="00013993"/>
    <w:rsid w:val="000148D7"/>
    <w:rsid w:val="00016BDB"/>
    <w:rsid w:val="00017C00"/>
    <w:rsid w:val="00017FEB"/>
    <w:rsid w:val="000213AD"/>
    <w:rsid w:val="000218EA"/>
    <w:rsid w:val="00022834"/>
    <w:rsid w:val="00023BFD"/>
    <w:rsid w:val="00024E4A"/>
    <w:rsid w:val="00030685"/>
    <w:rsid w:val="000319BF"/>
    <w:rsid w:val="000323A3"/>
    <w:rsid w:val="000378FB"/>
    <w:rsid w:val="00043278"/>
    <w:rsid w:val="00043A1B"/>
    <w:rsid w:val="00047526"/>
    <w:rsid w:val="00047BFA"/>
    <w:rsid w:val="00050E2B"/>
    <w:rsid w:val="00050EEE"/>
    <w:rsid w:val="00051732"/>
    <w:rsid w:val="000518A4"/>
    <w:rsid w:val="00053C56"/>
    <w:rsid w:val="00054F26"/>
    <w:rsid w:val="00060598"/>
    <w:rsid w:val="00060FBE"/>
    <w:rsid w:val="00062628"/>
    <w:rsid w:val="00064821"/>
    <w:rsid w:val="000660B7"/>
    <w:rsid w:val="00067E91"/>
    <w:rsid w:val="00071114"/>
    <w:rsid w:val="000739B0"/>
    <w:rsid w:val="000739EF"/>
    <w:rsid w:val="000754A2"/>
    <w:rsid w:val="00076518"/>
    <w:rsid w:val="000818B2"/>
    <w:rsid w:val="00082384"/>
    <w:rsid w:val="00082E62"/>
    <w:rsid w:val="00082EEF"/>
    <w:rsid w:val="00084371"/>
    <w:rsid w:val="00084513"/>
    <w:rsid w:val="00087B50"/>
    <w:rsid w:val="000926BF"/>
    <w:rsid w:val="00092739"/>
    <w:rsid w:val="0009349F"/>
    <w:rsid w:val="00093E3F"/>
    <w:rsid w:val="0009487E"/>
    <w:rsid w:val="0009498C"/>
    <w:rsid w:val="000953F8"/>
    <w:rsid w:val="000A05C5"/>
    <w:rsid w:val="000A1659"/>
    <w:rsid w:val="000A2D18"/>
    <w:rsid w:val="000A30BB"/>
    <w:rsid w:val="000A4E66"/>
    <w:rsid w:val="000A50C7"/>
    <w:rsid w:val="000A5E0B"/>
    <w:rsid w:val="000B0EA7"/>
    <w:rsid w:val="000B1137"/>
    <w:rsid w:val="000B1B16"/>
    <w:rsid w:val="000B4F8A"/>
    <w:rsid w:val="000B5277"/>
    <w:rsid w:val="000B52E2"/>
    <w:rsid w:val="000B6335"/>
    <w:rsid w:val="000B6647"/>
    <w:rsid w:val="000B66AC"/>
    <w:rsid w:val="000B6823"/>
    <w:rsid w:val="000B7958"/>
    <w:rsid w:val="000C7EF9"/>
    <w:rsid w:val="000D02DB"/>
    <w:rsid w:val="000D47A5"/>
    <w:rsid w:val="000D4E1E"/>
    <w:rsid w:val="000E04FD"/>
    <w:rsid w:val="000E1082"/>
    <w:rsid w:val="000E4466"/>
    <w:rsid w:val="000F14A1"/>
    <w:rsid w:val="000F68C3"/>
    <w:rsid w:val="000F74E5"/>
    <w:rsid w:val="00100A9E"/>
    <w:rsid w:val="00101036"/>
    <w:rsid w:val="00101B0B"/>
    <w:rsid w:val="0010352D"/>
    <w:rsid w:val="00103E2F"/>
    <w:rsid w:val="001053BC"/>
    <w:rsid w:val="00105533"/>
    <w:rsid w:val="0010640D"/>
    <w:rsid w:val="001077C5"/>
    <w:rsid w:val="00110D74"/>
    <w:rsid w:val="00111E54"/>
    <w:rsid w:val="00112225"/>
    <w:rsid w:val="00113252"/>
    <w:rsid w:val="00113BD9"/>
    <w:rsid w:val="001145A5"/>
    <w:rsid w:val="0011587E"/>
    <w:rsid w:val="00116247"/>
    <w:rsid w:val="00116B75"/>
    <w:rsid w:val="00117CFE"/>
    <w:rsid w:val="00120B40"/>
    <w:rsid w:val="00120F10"/>
    <w:rsid w:val="00120F2C"/>
    <w:rsid w:val="00123098"/>
    <w:rsid w:val="00124AB3"/>
    <w:rsid w:val="00125A62"/>
    <w:rsid w:val="0012626C"/>
    <w:rsid w:val="00126273"/>
    <w:rsid w:val="001266F8"/>
    <w:rsid w:val="00126966"/>
    <w:rsid w:val="0013081A"/>
    <w:rsid w:val="00130F30"/>
    <w:rsid w:val="00131A5E"/>
    <w:rsid w:val="00134166"/>
    <w:rsid w:val="0013483B"/>
    <w:rsid w:val="00134C2C"/>
    <w:rsid w:val="00135C61"/>
    <w:rsid w:val="0013620B"/>
    <w:rsid w:val="0013628B"/>
    <w:rsid w:val="00142B44"/>
    <w:rsid w:val="0014492F"/>
    <w:rsid w:val="00144C34"/>
    <w:rsid w:val="001468EA"/>
    <w:rsid w:val="00146A54"/>
    <w:rsid w:val="00147F29"/>
    <w:rsid w:val="00147F64"/>
    <w:rsid w:val="00153D47"/>
    <w:rsid w:val="0015428D"/>
    <w:rsid w:val="00156B73"/>
    <w:rsid w:val="00157327"/>
    <w:rsid w:val="00161695"/>
    <w:rsid w:val="00164B5D"/>
    <w:rsid w:val="00165999"/>
    <w:rsid w:val="0016688D"/>
    <w:rsid w:val="00166956"/>
    <w:rsid w:val="00166F59"/>
    <w:rsid w:val="001671A9"/>
    <w:rsid w:val="00167996"/>
    <w:rsid w:val="00170B30"/>
    <w:rsid w:val="00170D54"/>
    <w:rsid w:val="00176778"/>
    <w:rsid w:val="00177A15"/>
    <w:rsid w:val="00180CAC"/>
    <w:rsid w:val="00181476"/>
    <w:rsid w:val="00182964"/>
    <w:rsid w:val="00182A3F"/>
    <w:rsid w:val="001831DA"/>
    <w:rsid w:val="001835FD"/>
    <w:rsid w:val="0018382F"/>
    <w:rsid w:val="00184107"/>
    <w:rsid w:val="00184627"/>
    <w:rsid w:val="001850AB"/>
    <w:rsid w:val="00185AB2"/>
    <w:rsid w:val="00186865"/>
    <w:rsid w:val="00186C3E"/>
    <w:rsid w:val="001904A1"/>
    <w:rsid w:val="00190AE6"/>
    <w:rsid w:val="00192D88"/>
    <w:rsid w:val="00194F91"/>
    <w:rsid w:val="00194FA8"/>
    <w:rsid w:val="001960E7"/>
    <w:rsid w:val="00196429"/>
    <w:rsid w:val="00197A66"/>
    <w:rsid w:val="001A3789"/>
    <w:rsid w:val="001A7593"/>
    <w:rsid w:val="001B13C0"/>
    <w:rsid w:val="001B1ECD"/>
    <w:rsid w:val="001B718D"/>
    <w:rsid w:val="001B7E8E"/>
    <w:rsid w:val="001C3783"/>
    <w:rsid w:val="001C4803"/>
    <w:rsid w:val="001C4A97"/>
    <w:rsid w:val="001C51F0"/>
    <w:rsid w:val="001C5460"/>
    <w:rsid w:val="001C5479"/>
    <w:rsid w:val="001C65F0"/>
    <w:rsid w:val="001C74FF"/>
    <w:rsid w:val="001C7BEC"/>
    <w:rsid w:val="001D029C"/>
    <w:rsid w:val="001D1D2C"/>
    <w:rsid w:val="001D3D05"/>
    <w:rsid w:val="001D40A4"/>
    <w:rsid w:val="001D4810"/>
    <w:rsid w:val="001D55D4"/>
    <w:rsid w:val="001D6BA3"/>
    <w:rsid w:val="001E22D5"/>
    <w:rsid w:val="001E48BE"/>
    <w:rsid w:val="001F182B"/>
    <w:rsid w:val="001F1831"/>
    <w:rsid w:val="001F3F7B"/>
    <w:rsid w:val="0020171E"/>
    <w:rsid w:val="00201925"/>
    <w:rsid w:val="00205B2A"/>
    <w:rsid w:val="00206C01"/>
    <w:rsid w:val="00207409"/>
    <w:rsid w:val="0021079F"/>
    <w:rsid w:val="002122DC"/>
    <w:rsid w:val="00212D92"/>
    <w:rsid w:val="002141F9"/>
    <w:rsid w:val="00215060"/>
    <w:rsid w:val="00216ABF"/>
    <w:rsid w:val="00216ECD"/>
    <w:rsid w:val="00217C28"/>
    <w:rsid w:val="002206FB"/>
    <w:rsid w:val="00222682"/>
    <w:rsid w:val="00222C43"/>
    <w:rsid w:val="00222F56"/>
    <w:rsid w:val="00223DC0"/>
    <w:rsid w:val="002244DD"/>
    <w:rsid w:val="002259ED"/>
    <w:rsid w:val="0023034A"/>
    <w:rsid w:val="002306CC"/>
    <w:rsid w:val="00230AA0"/>
    <w:rsid w:val="002332D7"/>
    <w:rsid w:val="002341EA"/>
    <w:rsid w:val="0023518F"/>
    <w:rsid w:val="00235B09"/>
    <w:rsid w:val="00236B86"/>
    <w:rsid w:val="0024134E"/>
    <w:rsid w:val="00244083"/>
    <w:rsid w:val="0024437D"/>
    <w:rsid w:val="002445EE"/>
    <w:rsid w:val="0024785A"/>
    <w:rsid w:val="00250D8A"/>
    <w:rsid w:val="002519DC"/>
    <w:rsid w:val="00251B1E"/>
    <w:rsid w:val="00251DBF"/>
    <w:rsid w:val="002529BA"/>
    <w:rsid w:val="00252A86"/>
    <w:rsid w:val="002530EF"/>
    <w:rsid w:val="00253BFF"/>
    <w:rsid w:val="00255C32"/>
    <w:rsid w:val="002603EE"/>
    <w:rsid w:val="00261015"/>
    <w:rsid w:val="00271137"/>
    <w:rsid w:val="00271611"/>
    <w:rsid w:val="00272657"/>
    <w:rsid w:val="00274D0B"/>
    <w:rsid w:val="00280693"/>
    <w:rsid w:val="0028427A"/>
    <w:rsid w:val="00286A91"/>
    <w:rsid w:val="002915C7"/>
    <w:rsid w:val="00292EB8"/>
    <w:rsid w:val="00293CB3"/>
    <w:rsid w:val="002940FE"/>
    <w:rsid w:val="00294807"/>
    <w:rsid w:val="00294813"/>
    <w:rsid w:val="0029599C"/>
    <w:rsid w:val="0029652F"/>
    <w:rsid w:val="00296569"/>
    <w:rsid w:val="00296BD1"/>
    <w:rsid w:val="002A00DB"/>
    <w:rsid w:val="002A1080"/>
    <w:rsid w:val="002A24D4"/>
    <w:rsid w:val="002A57F1"/>
    <w:rsid w:val="002A6917"/>
    <w:rsid w:val="002B036D"/>
    <w:rsid w:val="002B152E"/>
    <w:rsid w:val="002B167B"/>
    <w:rsid w:val="002B18A1"/>
    <w:rsid w:val="002B6337"/>
    <w:rsid w:val="002B7695"/>
    <w:rsid w:val="002C03EC"/>
    <w:rsid w:val="002C2DCB"/>
    <w:rsid w:val="002C2FD3"/>
    <w:rsid w:val="002C3634"/>
    <w:rsid w:val="002C41C0"/>
    <w:rsid w:val="002C5589"/>
    <w:rsid w:val="002C5EAE"/>
    <w:rsid w:val="002C6E83"/>
    <w:rsid w:val="002D0D35"/>
    <w:rsid w:val="002D1F43"/>
    <w:rsid w:val="002D3222"/>
    <w:rsid w:val="002D35CB"/>
    <w:rsid w:val="002D3C8B"/>
    <w:rsid w:val="002D3DE5"/>
    <w:rsid w:val="002D514E"/>
    <w:rsid w:val="002D616F"/>
    <w:rsid w:val="002D6F68"/>
    <w:rsid w:val="002E20BF"/>
    <w:rsid w:val="002E4908"/>
    <w:rsid w:val="002E5C35"/>
    <w:rsid w:val="002E5E9F"/>
    <w:rsid w:val="002E7D53"/>
    <w:rsid w:val="002F0D11"/>
    <w:rsid w:val="002F1253"/>
    <w:rsid w:val="002F1CD7"/>
    <w:rsid w:val="002F5CB8"/>
    <w:rsid w:val="002F7A47"/>
    <w:rsid w:val="00300BE4"/>
    <w:rsid w:val="00302309"/>
    <w:rsid w:val="00302778"/>
    <w:rsid w:val="003035ED"/>
    <w:rsid w:val="003049C9"/>
    <w:rsid w:val="00307192"/>
    <w:rsid w:val="00310FAA"/>
    <w:rsid w:val="003113D8"/>
    <w:rsid w:val="00313158"/>
    <w:rsid w:val="0031337E"/>
    <w:rsid w:val="00314B45"/>
    <w:rsid w:val="0031613B"/>
    <w:rsid w:val="00316197"/>
    <w:rsid w:val="003173B3"/>
    <w:rsid w:val="003200E2"/>
    <w:rsid w:val="003201A5"/>
    <w:rsid w:val="00320EBC"/>
    <w:rsid w:val="00322023"/>
    <w:rsid w:val="003225F3"/>
    <w:rsid w:val="00323537"/>
    <w:rsid w:val="003238D1"/>
    <w:rsid w:val="00330B55"/>
    <w:rsid w:val="003329BD"/>
    <w:rsid w:val="0033303C"/>
    <w:rsid w:val="0033352D"/>
    <w:rsid w:val="00335917"/>
    <w:rsid w:val="003366DB"/>
    <w:rsid w:val="00336DAF"/>
    <w:rsid w:val="00337FF4"/>
    <w:rsid w:val="003402D5"/>
    <w:rsid w:val="00341156"/>
    <w:rsid w:val="00341C90"/>
    <w:rsid w:val="003421CB"/>
    <w:rsid w:val="00345E7E"/>
    <w:rsid w:val="00346408"/>
    <w:rsid w:val="00346746"/>
    <w:rsid w:val="003513AA"/>
    <w:rsid w:val="0035225C"/>
    <w:rsid w:val="003525D5"/>
    <w:rsid w:val="0035296B"/>
    <w:rsid w:val="003536BC"/>
    <w:rsid w:val="00353A97"/>
    <w:rsid w:val="00356A38"/>
    <w:rsid w:val="00356D73"/>
    <w:rsid w:val="00356E2F"/>
    <w:rsid w:val="003624A8"/>
    <w:rsid w:val="00362FE5"/>
    <w:rsid w:val="00363B3F"/>
    <w:rsid w:val="00364FEA"/>
    <w:rsid w:val="003660AE"/>
    <w:rsid w:val="00366264"/>
    <w:rsid w:val="00366690"/>
    <w:rsid w:val="00367E12"/>
    <w:rsid w:val="0037041D"/>
    <w:rsid w:val="0037149B"/>
    <w:rsid w:val="00374F6E"/>
    <w:rsid w:val="00380574"/>
    <w:rsid w:val="00380E95"/>
    <w:rsid w:val="00381516"/>
    <w:rsid w:val="00381C01"/>
    <w:rsid w:val="0038288D"/>
    <w:rsid w:val="003831E3"/>
    <w:rsid w:val="00384252"/>
    <w:rsid w:val="003842FD"/>
    <w:rsid w:val="00385733"/>
    <w:rsid w:val="00386935"/>
    <w:rsid w:val="003878F7"/>
    <w:rsid w:val="00391450"/>
    <w:rsid w:val="003917E2"/>
    <w:rsid w:val="0039294D"/>
    <w:rsid w:val="00392A90"/>
    <w:rsid w:val="00393CA5"/>
    <w:rsid w:val="00393E2A"/>
    <w:rsid w:val="0039439F"/>
    <w:rsid w:val="00394E03"/>
    <w:rsid w:val="00395DAC"/>
    <w:rsid w:val="00396E6F"/>
    <w:rsid w:val="00397A2C"/>
    <w:rsid w:val="00397A83"/>
    <w:rsid w:val="003A01AA"/>
    <w:rsid w:val="003A032C"/>
    <w:rsid w:val="003A0E95"/>
    <w:rsid w:val="003A12FD"/>
    <w:rsid w:val="003A2258"/>
    <w:rsid w:val="003A2496"/>
    <w:rsid w:val="003A4EDB"/>
    <w:rsid w:val="003A700F"/>
    <w:rsid w:val="003A7399"/>
    <w:rsid w:val="003A7AAB"/>
    <w:rsid w:val="003B1737"/>
    <w:rsid w:val="003B4CBE"/>
    <w:rsid w:val="003B4E68"/>
    <w:rsid w:val="003B4F93"/>
    <w:rsid w:val="003B5B29"/>
    <w:rsid w:val="003B6CFE"/>
    <w:rsid w:val="003B6DAD"/>
    <w:rsid w:val="003B7162"/>
    <w:rsid w:val="003C177B"/>
    <w:rsid w:val="003C186A"/>
    <w:rsid w:val="003C340A"/>
    <w:rsid w:val="003C3CD4"/>
    <w:rsid w:val="003C40E1"/>
    <w:rsid w:val="003C61B4"/>
    <w:rsid w:val="003D1113"/>
    <w:rsid w:val="003D18D8"/>
    <w:rsid w:val="003D3184"/>
    <w:rsid w:val="003D3367"/>
    <w:rsid w:val="003D38BA"/>
    <w:rsid w:val="003D4239"/>
    <w:rsid w:val="003D589A"/>
    <w:rsid w:val="003E026F"/>
    <w:rsid w:val="003E2FEC"/>
    <w:rsid w:val="003E5F43"/>
    <w:rsid w:val="003E70FC"/>
    <w:rsid w:val="003E799C"/>
    <w:rsid w:val="003F0CAC"/>
    <w:rsid w:val="003F2481"/>
    <w:rsid w:val="003F3D68"/>
    <w:rsid w:val="003F3F9E"/>
    <w:rsid w:val="003F40CD"/>
    <w:rsid w:val="003F4638"/>
    <w:rsid w:val="003F4A1D"/>
    <w:rsid w:val="003F5E24"/>
    <w:rsid w:val="003F7607"/>
    <w:rsid w:val="0040002D"/>
    <w:rsid w:val="0040085D"/>
    <w:rsid w:val="00400944"/>
    <w:rsid w:val="00403E10"/>
    <w:rsid w:val="004043F4"/>
    <w:rsid w:val="004058EF"/>
    <w:rsid w:val="00406362"/>
    <w:rsid w:val="004067D8"/>
    <w:rsid w:val="00406909"/>
    <w:rsid w:val="00406A9A"/>
    <w:rsid w:val="00407A76"/>
    <w:rsid w:val="00411169"/>
    <w:rsid w:val="00411F37"/>
    <w:rsid w:val="004124A0"/>
    <w:rsid w:val="004133FF"/>
    <w:rsid w:val="00413444"/>
    <w:rsid w:val="00414DCC"/>
    <w:rsid w:val="00414F8E"/>
    <w:rsid w:val="0042002C"/>
    <w:rsid w:val="00420A3C"/>
    <w:rsid w:val="00420E88"/>
    <w:rsid w:val="004210B3"/>
    <w:rsid w:val="004213F3"/>
    <w:rsid w:val="00421486"/>
    <w:rsid w:val="00421758"/>
    <w:rsid w:val="00421AE6"/>
    <w:rsid w:val="004221F3"/>
    <w:rsid w:val="004251C2"/>
    <w:rsid w:val="00425BD8"/>
    <w:rsid w:val="004264CA"/>
    <w:rsid w:val="00426F1F"/>
    <w:rsid w:val="00430C9D"/>
    <w:rsid w:val="004323D3"/>
    <w:rsid w:val="0043350E"/>
    <w:rsid w:val="00433AC0"/>
    <w:rsid w:val="00434567"/>
    <w:rsid w:val="00434593"/>
    <w:rsid w:val="004354D7"/>
    <w:rsid w:val="00435C0D"/>
    <w:rsid w:val="00436070"/>
    <w:rsid w:val="004365AE"/>
    <w:rsid w:val="00437DAE"/>
    <w:rsid w:val="00440082"/>
    <w:rsid w:val="004409AA"/>
    <w:rsid w:val="00440A5A"/>
    <w:rsid w:val="00441D2D"/>
    <w:rsid w:val="004442DF"/>
    <w:rsid w:val="0044512C"/>
    <w:rsid w:val="00445962"/>
    <w:rsid w:val="00446AB5"/>
    <w:rsid w:val="0045116D"/>
    <w:rsid w:val="004520B6"/>
    <w:rsid w:val="00452FFB"/>
    <w:rsid w:val="00453225"/>
    <w:rsid w:val="0045368F"/>
    <w:rsid w:val="0045501E"/>
    <w:rsid w:val="00460BA8"/>
    <w:rsid w:val="00463151"/>
    <w:rsid w:val="00463950"/>
    <w:rsid w:val="00466339"/>
    <w:rsid w:val="00466E04"/>
    <w:rsid w:val="00466E4A"/>
    <w:rsid w:val="00470ECC"/>
    <w:rsid w:val="00473DFF"/>
    <w:rsid w:val="0047681D"/>
    <w:rsid w:val="0048006F"/>
    <w:rsid w:val="00484324"/>
    <w:rsid w:val="0048551F"/>
    <w:rsid w:val="00485986"/>
    <w:rsid w:val="00486D9A"/>
    <w:rsid w:val="00490B99"/>
    <w:rsid w:val="004911CE"/>
    <w:rsid w:val="004913D1"/>
    <w:rsid w:val="00491E46"/>
    <w:rsid w:val="00492423"/>
    <w:rsid w:val="00492843"/>
    <w:rsid w:val="00492A52"/>
    <w:rsid w:val="00493DE8"/>
    <w:rsid w:val="0049438F"/>
    <w:rsid w:val="00496282"/>
    <w:rsid w:val="00496557"/>
    <w:rsid w:val="00496B1D"/>
    <w:rsid w:val="004A155D"/>
    <w:rsid w:val="004A2A8C"/>
    <w:rsid w:val="004A33D9"/>
    <w:rsid w:val="004A54D2"/>
    <w:rsid w:val="004A5CF5"/>
    <w:rsid w:val="004A5F2A"/>
    <w:rsid w:val="004A655F"/>
    <w:rsid w:val="004A66C9"/>
    <w:rsid w:val="004B12F6"/>
    <w:rsid w:val="004B1516"/>
    <w:rsid w:val="004B2A9E"/>
    <w:rsid w:val="004B2E09"/>
    <w:rsid w:val="004B33DE"/>
    <w:rsid w:val="004B44FB"/>
    <w:rsid w:val="004B482B"/>
    <w:rsid w:val="004B5925"/>
    <w:rsid w:val="004C0B47"/>
    <w:rsid w:val="004C40F3"/>
    <w:rsid w:val="004C46E2"/>
    <w:rsid w:val="004C4D37"/>
    <w:rsid w:val="004C4F61"/>
    <w:rsid w:val="004C5038"/>
    <w:rsid w:val="004C5453"/>
    <w:rsid w:val="004C6DF0"/>
    <w:rsid w:val="004D0727"/>
    <w:rsid w:val="004D08EF"/>
    <w:rsid w:val="004D0DF2"/>
    <w:rsid w:val="004D1899"/>
    <w:rsid w:val="004D1C4E"/>
    <w:rsid w:val="004D363E"/>
    <w:rsid w:val="004D62FC"/>
    <w:rsid w:val="004D6CE1"/>
    <w:rsid w:val="004E0C09"/>
    <w:rsid w:val="004E311C"/>
    <w:rsid w:val="004E40C8"/>
    <w:rsid w:val="004E4AD3"/>
    <w:rsid w:val="004E52E2"/>
    <w:rsid w:val="004E59AD"/>
    <w:rsid w:val="004E647D"/>
    <w:rsid w:val="004F3259"/>
    <w:rsid w:val="004F3DC5"/>
    <w:rsid w:val="004F4523"/>
    <w:rsid w:val="004F5223"/>
    <w:rsid w:val="00502553"/>
    <w:rsid w:val="0050299E"/>
    <w:rsid w:val="005047A6"/>
    <w:rsid w:val="00510CC2"/>
    <w:rsid w:val="00511329"/>
    <w:rsid w:val="005116E3"/>
    <w:rsid w:val="00511921"/>
    <w:rsid w:val="00513DD7"/>
    <w:rsid w:val="00515533"/>
    <w:rsid w:val="00515743"/>
    <w:rsid w:val="00517F6B"/>
    <w:rsid w:val="005220E4"/>
    <w:rsid w:val="005221D0"/>
    <w:rsid w:val="00524397"/>
    <w:rsid w:val="00526CD5"/>
    <w:rsid w:val="00530F60"/>
    <w:rsid w:val="00531286"/>
    <w:rsid w:val="00534979"/>
    <w:rsid w:val="005355A7"/>
    <w:rsid w:val="005365E1"/>
    <w:rsid w:val="005369FF"/>
    <w:rsid w:val="00537289"/>
    <w:rsid w:val="0054029B"/>
    <w:rsid w:val="00540574"/>
    <w:rsid w:val="005412DC"/>
    <w:rsid w:val="0054395C"/>
    <w:rsid w:val="00544A92"/>
    <w:rsid w:val="00547804"/>
    <w:rsid w:val="00550392"/>
    <w:rsid w:val="0055049D"/>
    <w:rsid w:val="00550885"/>
    <w:rsid w:val="00550A36"/>
    <w:rsid w:val="0055112D"/>
    <w:rsid w:val="00555EE6"/>
    <w:rsid w:val="00556BF5"/>
    <w:rsid w:val="00557B22"/>
    <w:rsid w:val="00557FA7"/>
    <w:rsid w:val="00561379"/>
    <w:rsid w:val="00561737"/>
    <w:rsid w:val="00565537"/>
    <w:rsid w:val="005665FA"/>
    <w:rsid w:val="00566F48"/>
    <w:rsid w:val="00567ECE"/>
    <w:rsid w:val="00570661"/>
    <w:rsid w:val="00570DD3"/>
    <w:rsid w:val="00570F80"/>
    <w:rsid w:val="00577EB2"/>
    <w:rsid w:val="0058025D"/>
    <w:rsid w:val="005807EC"/>
    <w:rsid w:val="0058134B"/>
    <w:rsid w:val="0058406A"/>
    <w:rsid w:val="0058732F"/>
    <w:rsid w:val="005904B1"/>
    <w:rsid w:val="005909F3"/>
    <w:rsid w:val="00590F4E"/>
    <w:rsid w:val="005911E5"/>
    <w:rsid w:val="005921C6"/>
    <w:rsid w:val="0059244D"/>
    <w:rsid w:val="005956FA"/>
    <w:rsid w:val="00595E97"/>
    <w:rsid w:val="00596617"/>
    <w:rsid w:val="005978DA"/>
    <w:rsid w:val="00597E01"/>
    <w:rsid w:val="00597E63"/>
    <w:rsid w:val="005A0620"/>
    <w:rsid w:val="005A0C69"/>
    <w:rsid w:val="005A2044"/>
    <w:rsid w:val="005A49E1"/>
    <w:rsid w:val="005A5DC1"/>
    <w:rsid w:val="005B21D5"/>
    <w:rsid w:val="005B3908"/>
    <w:rsid w:val="005B6BF9"/>
    <w:rsid w:val="005C0129"/>
    <w:rsid w:val="005C2378"/>
    <w:rsid w:val="005C318C"/>
    <w:rsid w:val="005C3FCE"/>
    <w:rsid w:val="005C544C"/>
    <w:rsid w:val="005C6066"/>
    <w:rsid w:val="005C7043"/>
    <w:rsid w:val="005D07D2"/>
    <w:rsid w:val="005D0946"/>
    <w:rsid w:val="005D0AEE"/>
    <w:rsid w:val="005D0AFE"/>
    <w:rsid w:val="005D0D37"/>
    <w:rsid w:val="005D1C0B"/>
    <w:rsid w:val="005D3450"/>
    <w:rsid w:val="005D3E47"/>
    <w:rsid w:val="005D4E5E"/>
    <w:rsid w:val="005D5CD4"/>
    <w:rsid w:val="005D6E81"/>
    <w:rsid w:val="005D6EA5"/>
    <w:rsid w:val="005D75A7"/>
    <w:rsid w:val="005E1D17"/>
    <w:rsid w:val="005E1F73"/>
    <w:rsid w:val="005E3496"/>
    <w:rsid w:val="005E586B"/>
    <w:rsid w:val="005E6974"/>
    <w:rsid w:val="005E6C81"/>
    <w:rsid w:val="005E78BF"/>
    <w:rsid w:val="005F3A40"/>
    <w:rsid w:val="00600594"/>
    <w:rsid w:val="00601D1D"/>
    <w:rsid w:val="00604752"/>
    <w:rsid w:val="00604B59"/>
    <w:rsid w:val="0060557B"/>
    <w:rsid w:val="006057AE"/>
    <w:rsid w:val="0060663F"/>
    <w:rsid w:val="006129AA"/>
    <w:rsid w:val="00613780"/>
    <w:rsid w:val="00615013"/>
    <w:rsid w:val="00616DD3"/>
    <w:rsid w:val="00617D75"/>
    <w:rsid w:val="00621087"/>
    <w:rsid w:val="006219F2"/>
    <w:rsid w:val="00622257"/>
    <w:rsid w:val="006238AC"/>
    <w:rsid w:val="00625EFF"/>
    <w:rsid w:val="00626665"/>
    <w:rsid w:val="00630B25"/>
    <w:rsid w:val="00631E0E"/>
    <w:rsid w:val="00632847"/>
    <w:rsid w:val="006357B5"/>
    <w:rsid w:val="006402B3"/>
    <w:rsid w:val="006404AE"/>
    <w:rsid w:val="00640ED2"/>
    <w:rsid w:val="00641618"/>
    <w:rsid w:val="006416F7"/>
    <w:rsid w:val="006420B0"/>
    <w:rsid w:val="0064246B"/>
    <w:rsid w:val="006429CB"/>
    <w:rsid w:val="00642E04"/>
    <w:rsid w:val="00643EE6"/>
    <w:rsid w:val="00644641"/>
    <w:rsid w:val="00644E78"/>
    <w:rsid w:val="006455C9"/>
    <w:rsid w:val="00645823"/>
    <w:rsid w:val="00645B78"/>
    <w:rsid w:val="00646229"/>
    <w:rsid w:val="00647A40"/>
    <w:rsid w:val="00650041"/>
    <w:rsid w:val="00650C2C"/>
    <w:rsid w:val="00651182"/>
    <w:rsid w:val="00652627"/>
    <w:rsid w:val="00654855"/>
    <w:rsid w:val="00657001"/>
    <w:rsid w:val="00661554"/>
    <w:rsid w:val="00664878"/>
    <w:rsid w:val="00665F38"/>
    <w:rsid w:val="00666270"/>
    <w:rsid w:val="00666ACF"/>
    <w:rsid w:val="00667524"/>
    <w:rsid w:val="0067057C"/>
    <w:rsid w:val="00672020"/>
    <w:rsid w:val="00672EB0"/>
    <w:rsid w:val="00673159"/>
    <w:rsid w:val="006738A3"/>
    <w:rsid w:val="0067573D"/>
    <w:rsid w:val="00677233"/>
    <w:rsid w:val="00677E6C"/>
    <w:rsid w:val="00680D7B"/>
    <w:rsid w:val="00681359"/>
    <w:rsid w:val="00682DDB"/>
    <w:rsid w:val="006839C1"/>
    <w:rsid w:val="00685C5F"/>
    <w:rsid w:val="006860C8"/>
    <w:rsid w:val="006862B9"/>
    <w:rsid w:val="00691A6D"/>
    <w:rsid w:val="00693B21"/>
    <w:rsid w:val="006946F9"/>
    <w:rsid w:val="00697B1C"/>
    <w:rsid w:val="006A0A12"/>
    <w:rsid w:val="006A1FFE"/>
    <w:rsid w:val="006A3371"/>
    <w:rsid w:val="006A4761"/>
    <w:rsid w:val="006A5BCD"/>
    <w:rsid w:val="006A6DA4"/>
    <w:rsid w:val="006B05E2"/>
    <w:rsid w:val="006B0F57"/>
    <w:rsid w:val="006B24A2"/>
    <w:rsid w:val="006B3324"/>
    <w:rsid w:val="006B4325"/>
    <w:rsid w:val="006B447C"/>
    <w:rsid w:val="006B4A3B"/>
    <w:rsid w:val="006B4A94"/>
    <w:rsid w:val="006B6B37"/>
    <w:rsid w:val="006B7765"/>
    <w:rsid w:val="006B78F8"/>
    <w:rsid w:val="006B7E95"/>
    <w:rsid w:val="006C2499"/>
    <w:rsid w:val="006C515C"/>
    <w:rsid w:val="006C5F3A"/>
    <w:rsid w:val="006C60E4"/>
    <w:rsid w:val="006C76D6"/>
    <w:rsid w:val="006D1EAB"/>
    <w:rsid w:val="006D78A2"/>
    <w:rsid w:val="006E0148"/>
    <w:rsid w:val="006E0AE7"/>
    <w:rsid w:val="006E11F5"/>
    <w:rsid w:val="006E26EC"/>
    <w:rsid w:val="006E32E8"/>
    <w:rsid w:val="006E51BE"/>
    <w:rsid w:val="006E717A"/>
    <w:rsid w:val="006F02BE"/>
    <w:rsid w:val="006F1057"/>
    <w:rsid w:val="006F151C"/>
    <w:rsid w:val="006F223E"/>
    <w:rsid w:val="006F34B9"/>
    <w:rsid w:val="006F3B79"/>
    <w:rsid w:val="006F5622"/>
    <w:rsid w:val="006F74E2"/>
    <w:rsid w:val="00703AF3"/>
    <w:rsid w:val="00707B19"/>
    <w:rsid w:val="0071011C"/>
    <w:rsid w:val="007102E5"/>
    <w:rsid w:val="00710B5C"/>
    <w:rsid w:val="00710E23"/>
    <w:rsid w:val="007150BB"/>
    <w:rsid w:val="007163F7"/>
    <w:rsid w:val="00717893"/>
    <w:rsid w:val="00722A78"/>
    <w:rsid w:val="007254DA"/>
    <w:rsid w:val="00730851"/>
    <w:rsid w:val="00730C74"/>
    <w:rsid w:val="007311A2"/>
    <w:rsid w:val="00731555"/>
    <w:rsid w:val="00732113"/>
    <w:rsid w:val="0073367B"/>
    <w:rsid w:val="00740C99"/>
    <w:rsid w:val="00740D72"/>
    <w:rsid w:val="00741F77"/>
    <w:rsid w:val="007421ED"/>
    <w:rsid w:val="00742485"/>
    <w:rsid w:val="00746127"/>
    <w:rsid w:val="0075185E"/>
    <w:rsid w:val="00754654"/>
    <w:rsid w:val="00755028"/>
    <w:rsid w:val="00756B36"/>
    <w:rsid w:val="00760135"/>
    <w:rsid w:val="00760D36"/>
    <w:rsid w:val="0076139E"/>
    <w:rsid w:val="0076180D"/>
    <w:rsid w:val="00761BEE"/>
    <w:rsid w:val="00762207"/>
    <w:rsid w:val="007623BE"/>
    <w:rsid w:val="007634E1"/>
    <w:rsid w:val="00763869"/>
    <w:rsid w:val="007640C8"/>
    <w:rsid w:val="007663B4"/>
    <w:rsid w:val="007679C7"/>
    <w:rsid w:val="00770F76"/>
    <w:rsid w:val="0077241B"/>
    <w:rsid w:val="00773666"/>
    <w:rsid w:val="00773674"/>
    <w:rsid w:val="00774F67"/>
    <w:rsid w:val="00775781"/>
    <w:rsid w:val="00776F4D"/>
    <w:rsid w:val="007801ED"/>
    <w:rsid w:val="00781A10"/>
    <w:rsid w:val="007844A6"/>
    <w:rsid w:val="00784674"/>
    <w:rsid w:val="00785218"/>
    <w:rsid w:val="00785800"/>
    <w:rsid w:val="00787BB3"/>
    <w:rsid w:val="00787C5B"/>
    <w:rsid w:val="00787FA5"/>
    <w:rsid w:val="007902CE"/>
    <w:rsid w:val="007907E9"/>
    <w:rsid w:val="00790808"/>
    <w:rsid w:val="0079165D"/>
    <w:rsid w:val="00794360"/>
    <w:rsid w:val="00794EEF"/>
    <w:rsid w:val="00796B90"/>
    <w:rsid w:val="007A2D80"/>
    <w:rsid w:val="007A3214"/>
    <w:rsid w:val="007A38B8"/>
    <w:rsid w:val="007A5E80"/>
    <w:rsid w:val="007A6714"/>
    <w:rsid w:val="007A7A2F"/>
    <w:rsid w:val="007B014E"/>
    <w:rsid w:val="007B0612"/>
    <w:rsid w:val="007B16F2"/>
    <w:rsid w:val="007B309A"/>
    <w:rsid w:val="007B3FAC"/>
    <w:rsid w:val="007B760E"/>
    <w:rsid w:val="007B7AAE"/>
    <w:rsid w:val="007B7B20"/>
    <w:rsid w:val="007C07F4"/>
    <w:rsid w:val="007C0ECA"/>
    <w:rsid w:val="007C2583"/>
    <w:rsid w:val="007C2B0F"/>
    <w:rsid w:val="007C3452"/>
    <w:rsid w:val="007C3F3A"/>
    <w:rsid w:val="007C50B1"/>
    <w:rsid w:val="007C545D"/>
    <w:rsid w:val="007C5EAF"/>
    <w:rsid w:val="007C704D"/>
    <w:rsid w:val="007C7819"/>
    <w:rsid w:val="007C7D32"/>
    <w:rsid w:val="007D1592"/>
    <w:rsid w:val="007D1D2A"/>
    <w:rsid w:val="007D342A"/>
    <w:rsid w:val="007D469D"/>
    <w:rsid w:val="007D47E3"/>
    <w:rsid w:val="007D4AD1"/>
    <w:rsid w:val="007E083B"/>
    <w:rsid w:val="007E0D97"/>
    <w:rsid w:val="007E17C5"/>
    <w:rsid w:val="007E2283"/>
    <w:rsid w:val="007E2691"/>
    <w:rsid w:val="007E2947"/>
    <w:rsid w:val="007E30AA"/>
    <w:rsid w:val="007E32DE"/>
    <w:rsid w:val="007E4355"/>
    <w:rsid w:val="007E604C"/>
    <w:rsid w:val="007E6913"/>
    <w:rsid w:val="007F1E02"/>
    <w:rsid w:val="007F23E1"/>
    <w:rsid w:val="007F28A5"/>
    <w:rsid w:val="007F2FD3"/>
    <w:rsid w:val="007F409A"/>
    <w:rsid w:val="007F5E42"/>
    <w:rsid w:val="007F6CAF"/>
    <w:rsid w:val="007F7E2B"/>
    <w:rsid w:val="008007C5"/>
    <w:rsid w:val="0080199A"/>
    <w:rsid w:val="008032EA"/>
    <w:rsid w:val="00803AC9"/>
    <w:rsid w:val="00804120"/>
    <w:rsid w:val="00804389"/>
    <w:rsid w:val="0080456B"/>
    <w:rsid w:val="00804C22"/>
    <w:rsid w:val="00806C2A"/>
    <w:rsid w:val="00806D67"/>
    <w:rsid w:val="008115C0"/>
    <w:rsid w:val="008144B5"/>
    <w:rsid w:val="00814AF1"/>
    <w:rsid w:val="008153BA"/>
    <w:rsid w:val="008154F5"/>
    <w:rsid w:val="00815D31"/>
    <w:rsid w:val="00816A39"/>
    <w:rsid w:val="00816D47"/>
    <w:rsid w:val="00824158"/>
    <w:rsid w:val="00824786"/>
    <w:rsid w:val="00824E4E"/>
    <w:rsid w:val="008267DB"/>
    <w:rsid w:val="00827692"/>
    <w:rsid w:val="00827BFC"/>
    <w:rsid w:val="0083093E"/>
    <w:rsid w:val="008317C9"/>
    <w:rsid w:val="00831859"/>
    <w:rsid w:val="0083224A"/>
    <w:rsid w:val="00832F52"/>
    <w:rsid w:val="0083452B"/>
    <w:rsid w:val="00835877"/>
    <w:rsid w:val="00835B07"/>
    <w:rsid w:val="00837A0D"/>
    <w:rsid w:val="00837CCB"/>
    <w:rsid w:val="00842F0A"/>
    <w:rsid w:val="00846813"/>
    <w:rsid w:val="00847523"/>
    <w:rsid w:val="00847A43"/>
    <w:rsid w:val="00854142"/>
    <w:rsid w:val="00854592"/>
    <w:rsid w:val="008547D4"/>
    <w:rsid w:val="00855086"/>
    <w:rsid w:val="008550D5"/>
    <w:rsid w:val="008551CA"/>
    <w:rsid w:val="00855594"/>
    <w:rsid w:val="00855851"/>
    <w:rsid w:val="008577EB"/>
    <w:rsid w:val="00857BF3"/>
    <w:rsid w:val="00862055"/>
    <w:rsid w:val="0086362E"/>
    <w:rsid w:val="008645B3"/>
    <w:rsid w:val="0086475A"/>
    <w:rsid w:val="00864CD5"/>
    <w:rsid w:val="0086628D"/>
    <w:rsid w:val="00866B8E"/>
    <w:rsid w:val="00871139"/>
    <w:rsid w:val="008725B3"/>
    <w:rsid w:val="008735F7"/>
    <w:rsid w:val="00873D60"/>
    <w:rsid w:val="00876221"/>
    <w:rsid w:val="008770C2"/>
    <w:rsid w:val="00877E61"/>
    <w:rsid w:val="0088011C"/>
    <w:rsid w:val="00880DEA"/>
    <w:rsid w:val="00881699"/>
    <w:rsid w:val="00881D27"/>
    <w:rsid w:val="00882714"/>
    <w:rsid w:val="008836FE"/>
    <w:rsid w:val="00884EA8"/>
    <w:rsid w:val="0088632A"/>
    <w:rsid w:val="00887CCC"/>
    <w:rsid w:val="00890F9B"/>
    <w:rsid w:val="008919E5"/>
    <w:rsid w:val="00893A42"/>
    <w:rsid w:val="008943A0"/>
    <w:rsid w:val="00894F88"/>
    <w:rsid w:val="008974FF"/>
    <w:rsid w:val="008A0027"/>
    <w:rsid w:val="008A00A0"/>
    <w:rsid w:val="008A0C88"/>
    <w:rsid w:val="008A0FC1"/>
    <w:rsid w:val="008A1399"/>
    <w:rsid w:val="008A4DF3"/>
    <w:rsid w:val="008A4E51"/>
    <w:rsid w:val="008A67FA"/>
    <w:rsid w:val="008A6A86"/>
    <w:rsid w:val="008A795E"/>
    <w:rsid w:val="008A7C9C"/>
    <w:rsid w:val="008A892F"/>
    <w:rsid w:val="008B02AB"/>
    <w:rsid w:val="008B1C9B"/>
    <w:rsid w:val="008B5594"/>
    <w:rsid w:val="008B66F5"/>
    <w:rsid w:val="008C0B28"/>
    <w:rsid w:val="008C0EB3"/>
    <w:rsid w:val="008C12B1"/>
    <w:rsid w:val="008C2863"/>
    <w:rsid w:val="008C28C4"/>
    <w:rsid w:val="008C7733"/>
    <w:rsid w:val="008D0E97"/>
    <w:rsid w:val="008D4097"/>
    <w:rsid w:val="008D4922"/>
    <w:rsid w:val="008D50FA"/>
    <w:rsid w:val="008D68EB"/>
    <w:rsid w:val="008D7C05"/>
    <w:rsid w:val="008D7F70"/>
    <w:rsid w:val="008E007D"/>
    <w:rsid w:val="008E2F8F"/>
    <w:rsid w:val="008E34B9"/>
    <w:rsid w:val="008E3CDA"/>
    <w:rsid w:val="008E4820"/>
    <w:rsid w:val="008E4D39"/>
    <w:rsid w:val="008E5008"/>
    <w:rsid w:val="008E7E21"/>
    <w:rsid w:val="008F0C1D"/>
    <w:rsid w:val="008F22D5"/>
    <w:rsid w:val="008F635D"/>
    <w:rsid w:val="008F703E"/>
    <w:rsid w:val="00900416"/>
    <w:rsid w:val="00901E43"/>
    <w:rsid w:val="00902242"/>
    <w:rsid w:val="00902E84"/>
    <w:rsid w:val="00904BA8"/>
    <w:rsid w:val="0090539B"/>
    <w:rsid w:val="00907585"/>
    <w:rsid w:val="0090774C"/>
    <w:rsid w:val="00912FF6"/>
    <w:rsid w:val="0091492C"/>
    <w:rsid w:val="00916130"/>
    <w:rsid w:val="009172E3"/>
    <w:rsid w:val="00922068"/>
    <w:rsid w:val="00923B23"/>
    <w:rsid w:val="00923C49"/>
    <w:rsid w:val="00923D87"/>
    <w:rsid w:val="00924A72"/>
    <w:rsid w:val="00926840"/>
    <w:rsid w:val="00926DF9"/>
    <w:rsid w:val="0093130E"/>
    <w:rsid w:val="00934961"/>
    <w:rsid w:val="009350BC"/>
    <w:rsid w:val="009403F6"/>
    <w:rsid w:val="00941C1F"/>
    <w:rsid w:val="0094295D"/>
    <w:rsid w:val="0094499F"/>
    <w:rsid w:val="009456CB"/>
    <w:rsid w:val="00946FFE"/>
    <w:rsid w:val="00950797"/>
    <w:rsid w:val="00952E5B"/>
    <w:rsid w:val="009562CD"/>
    <w:rsid w:val="00956D8E"/>
    <w:rsid w:val="00960C62"/>
    <w:rsid w:val="00961FDB"/>
    <w:rsid w:val="009629BA"/>
    <w:rsid w:val="009652F4"/>
    <w:rsid w:val="00966362"/>
    <w:rsid w:val="00970BF9"/>
    <w:rsid w:val="009741D9"/>
    <w:rsid w:val="00974DE1"/>
    <w:rsid w:val="00974F9F"/>
    <w:rsid w:val="00975772"/>
    <w:rsid w:val="00976D7C"/>
    <w:rsid w:val="009773F5"/>
    <w:rsid w:val="00980326"/>
    <w:rsid w:val="009811D6"/>
    <w:rsid w:val="00982CF0"/>
    <w:rsid w:val="00984676"/>
    <w:rsid w:val="00986685"/>
    <w:rsid w:val="009875E2"/>
    <w:rsid w:val="00991631"/>
    <w:rsid w:val="009918EC"/>
    <w:rsid w:val="009924DD"/>
    <w:rsid w:val="009929FA"/>
    <w:rsid w:val="00993167"/>
    <w:rsid w:val="009948E5"/>
    <w:rsid w:val="00995817"/>
    <w:rsid w:val="0099604D"/>
    <w:rsid w:val="0099668E"/>
    <w:rsid w:val="009A0FC2"/>
    <w:rsid w:val="009A227B"/>
    <w:rsid w:val="009A30AF"/>
    <w:rsid w:val="009A75F7"/>
    <w:rsid w:val="009B0B47"/>
    <w:rsid w:val="009B2129"/>
    <w:rsid w:val="009B49A8"/>
    <w:rsid w:val="009B59AC"/>
    <w:rsid w:val="009B6A9C"/>
    <w:rsid w:val="009B6E6F"/>
    <w:rsid w:val="009B7AC0"/>
    <w:rsid w:val="009B7F81"/>
    <w:rsid w:val="009C1303"/>
    <w:rsid w:val="009C14BE"/>
    <w:rsid w:val="009C187B"/>
    <w:rsid w:val="009C4B98"/>
    <w:rsid w:val="009C67CD"/>
    <w:rsid w:val="009C6AAD"/>
    <w:rsid w:val="009D0E35"/>
    <w:rsid w:val="009D1811"/>
    <w:rsid w:val="009D1B5E"/>
    <w:rsid w:val="009D1D81"/>
    <w:rsid w:val="009D2689"/>
    <w:rsid w:val="009D357E"/>
    <w:rsid w:val="009D5F30"/>
    <w:rsid w:val="009D6D10"/>
    <w:rsid w:val="009D7E69"/>
    <w:rsid w:val="009E2147"/>
    <w:rsid w:val="009E307C"/>
    <w:rsid w:val="009E3C3C"/>
    <w:rsid w:val="009E3DDA"/>
    <w:rsid w:val="009E4590"/>
    <w:rsid w:val="009E4BBF"/>
    <w:rsid w:val="009E5A8D"/>
    <w:rsid w:val="009E5E11"/>
    <w:rsid w:val="009E7AA0"/>
    <w:rsid w:val="009F0133"/>
    <w:rsid w:val="009F041C"/>
    <w:rsid w:val="009F05EB"/>
    <w:rsid w:val="009F07BC"/>
    <w:rsid w:val="009F0CF4"/>
    <w:rsid w:val="009F1D72"/>
    <w:rsid w:val="009F2207"/>
    <w:rsid w:val="009F28E0"/>
    <w:rsid w:val="009F3AAA"/>
    <w:rsid w:val="009F408D"/>
    <w:rsid w:val="009F40A8"/>
    <w:rsid w:val="009F4C0A"/>
    <w:rsid w:val="00A003B8"/>
    <w:rsid w:val="00A00F2B"/>
    <w:rsid w:val="00A045E9"/>
    <w:rsid w:val="00A05D60"/>
    <w:rsid w:val="00A05EA5"/>
    <w:rsid w:val="00A100B9"/>
    <w:rsid w:val="00A112B6"/>
    <w:rsid w:val="00A11E49"/>
    <w:rsid w:val="00A12FF0"/>
    <w:rsid w:val="00A14CAF"/>
    <w:rsid w:val="00A170B6"/>
    <w:rsid w:val="00A2086C"/>
    <w:rsid w:val="00A20B46"/>
    <w:rsid w:val="00A23400"/>
    <w:rsid w:val="00A23703"/>
    <w:rsid w:val="00A2372E"/>
    <w:rsid w:val="00A23B88"/>
    <w:rsid w:val="00A25817"/>
    <w:rsid w:val="00A25DB6"/>
    <w:rsid w:val="00A27906"/>
    <w:rsid w:val="00A27DDC"/>
    <w:rsid w:val="00A3211C"/>
    <w:rsid w:val="00A33490"/>
    <w:rsid w:val="00A34A4F"/>
    <w:rsid w:val="00A35492"/>
    <w:rsid w:val="00A40874"/>
    <w:rsid w:val="00A43607"/>
    <w:rsid w:val="00A44256"/>
    <w:rsid w:val="00A46EB7"/>
    <w:rsid w:val="00A52412"/>
    <w:rsid w:val="00A5259A"/>
    <w:rsid w:val="00A528FE"/>
    <w:rsid w:val="00A52D35"/>
    <w:rsid w:val="00A56231"/>
    <w:rsid w:val="00A56631"/>
    <w:rsid w:val="00A57D0E"/>
    <w:rsid w:val="00A6196D"/>
    <w:rsid w:val="00A63C23"/>
    <w:rsid w:val="00A649A9"/>
    <w:rsid w:val="00A67950"/>
    <w:rsid w:val="00A70720"/>
    <w:rsid w:val="00A70D89"/>
    <w:rsid w:val="00A72442"/>
    <w:rsid w:val="00A7274E"/>
    <w:rsid w:val="00A7548F"/>
    <w:rsid w:val="00A75F29"/>
    <w:rsid w:val="00A773FA"/>
    <w:rsid w:val="00A80C1F"/>
    <w:rsid w:val="00A826A8"/>
    <w:rsid w:val="00A840A9"/>
    <w:rsid w:val="00A849DC"/>
    <w:rsid w:val="00A84B07"/>
    <w:rsid w:val="00A87065"/>
    <w:rsid w:val="00A90A7A"/>
    <w:rsid w:val="00A91112"/>
    <w:rsid w:val="00A92B65"/>
    <w:rsid w:val="00A93A67"/>
    <w:rsid w:val="00A944DF"/>
    <w:rsid w:val="00A94992"/>
    <w:rsid w:val="00A95E83"/>
    <w:rsid w:val="00A96708"/>
    <w:rsid w:val="00A97C82"/>
    <w:rsid w:val="00AA09FF"/>
    <w:rsid w:val="00AA4F9D"/>
    <w:rsid w:val="00AA514B"/>
    <w:rsid w:val="00AA5172"/>
    <w:rsid w:val="00AA53C5"/>
    <w:rsid w:val="00AA6AC1"/>
    <w:rsid w:val="00AA6F92"/>
    <w:rsid w:val="00AA7275"/>
    <w:rsid w:val="00AB082C"/>
    <w:rsid w:val="00AB40F5"/>
    <w:rsid w:val="00AB4435"/>
    <w:rsid w:val="00AC1392"/>
    <w:rsid w:val="00AC62D9"/>
    <w:rsid w:val="00AC683F"/>
    <w:rsid w:val="00AC783A"/>
    <w:rsid w:val="00AC799B"/>
    <w:rsid w:val="00AC7E10"/>
    <w:rsid w:val="00AD0C48"/>
    <w:rsid w:val="00AD0E26"/>
    <w:rsid w:val="00AD2328"/>
    <w:rsid w:val="00AD6BC8"/>
    <w:rsid w:val="00AD720F"/>
    <w:rsid w:val="00AD7685"/>
    <w:rsid w:val="00AE2F42"/>
    <w:rsid w:val="00AE4457"/>
    <w:rsid w:val="00AE5A77"/>
    <w:rsid w:val="00AE769B"/>
    <w:rsid w:val="00AF0A81"/>
    <w:rsid w:val="00AF1480"/>
    <w:rsid w:val="00AF1A53"/>
    <w:rsid w:val="00AF22D6"/>
    <w:rsid w:val="00AF2748"/>
    <w:rsid w:val="00AF2FF7"/>
    <w:rsid w:val="00AF6D01"/>
    <w:rsid w:val="00AF6E2F"/>
    <w:rsid w:val="00AF7756"/>
    <w:rsid w:val="00B04A10"/>
    <w:rsid w:val="00B0620B"/>
    <w:rsid w:val="00B06D58"/>
    <w:rsid w:val="00B071A5"/>
    <w:rsid w:val="00B07C1B"/>
    <w:rsid w:val="00B1062D"/>
    <w:rsid w:val="00B107F3"/>
    <w:rsid w:val="00B1316E"/>
    <w:rsid w:val="00B13758"/>
    <w:rsid w:val="00B1532D"/>
    <w:rsid w:val="00B15C88"/>
    <w:rsid w:val="00B1612F"/>
    <w:rsid w:val="00B16138"/>
    <w:rsid w:val="00B16B92"/>
    <w:rsid w:val="00B16E99"/>
    <w:rsid w:val="00B173AA"/>
    <w:rsid w:val="00B204A2"/>
    <w:rsid w:val="00B21367"/>
    <w:rsid w:val="00B22618"/>
    <w:rsid w:val="00B22C16"/>
    <w:rsid w:val="00B25BD8"/>
    <w:rsid w:val="00B32A87"/>
    <w:rsid w:val="00B342F8"/>
    <w:rsid w:val="00B353D7"/>
    <w:rsid w:val="00B356BB"/>
    <w:rsid w:val="00B40F25"/>
    <w:rsid w:val="00B41524"/>
    <w:rsid w:val="00B41830"/>
    <w:rsid w:val="00B447FD"/>
    <w:rsid w:val="00B45953"/>
    <w:rsid w:val="00B46322"/>
    <w:rsid w:val="00B47BFF"/>
    <w:rsid w:val="00B50956"/>
    <w:rsid w:val="00B51D3D"/>
    <w:rsid w:val="00B53EA1"/>
    <w:rsid w:val="00B553C6"/>
    <w:rsid w:val="00B5708F"/>
    <w:rsid w:val="00B57787"/>
    <w:rsid w:val="00B621A3"/>
    <w:rsid w:val="00B637C1"/>
    <w:rsid w:val="00B638B4"/>
    <w:rsid w:val="00B65CCB"/>
    <w:rsid w:val="00B71352"/>
    <w:rsid w:val="00B7189B"/>
    <w:rsid w:val="00B720D2"/>
    <w:rsid w:val="00B72117"/>
    <w:rsid w:val="00B73F66"/>
    <w:rsid w:val="00B755F4"/>
    <w:rsid w:val="00B7599C"/>
    <w:rsid w:val="00B776D1"/>
    <w:rsid w:val="00B77DDB"/>
    <w:rsid w:val="00B81C16"/>
    <w:rsid w:val="00B8338C"/>
    <w:rsid w:val="00B83AB8"/>
    <w:rsid w:val="00B8434A"/>
    <w:rsid w:val="00B85A8F"/>
    <w:rsid w:val="00B86157"/>
    <w:rsid w:val="00B87B5B"/>
    <w:rsid w:val="00B90492"/>
    <w:rsid w:val="00B90A4D"/>
    <w:rsid w:val="00B90C19"/>
    <w:rsid w:val="00B9470D"/>
    <w:rsid w:val="00B9487D"/>
    <w:rsid w:val="00BA06BB"/>
    <w:rsid w:val="00BA20B0"/>
    <w:rsid w:val="00BA356B"/>
    <w:rsid w:val="00BA3661"/>
    <w:rsid w:val="00BA3853"/>
    <w:rsid w:val="00BA3BE5"/>
    <w:rsid w:val="00BA47B2"/>
    <w:rsid w:val="00BA506B"/>
    <w:rsid w:val="00BA52DF"/>
    <w:rsid w:val="00BA5D1B"/>
    <w:rsid w:val="00BB138B"/>
    <w:rsid w:val="00BB3553"/>
    <w:rsid w:val="00BB3C1F"/>
    <w:rsid w:val="00BB48D7"/>
    <w:rsid w:val="00BB7A22"/>
    <w:rsid w:val="00BC21A8"/>
    <w:rsid w:val="00BC2FEF"/>
    <w:rsid w:val="00BC3186"/>
    <w:rsid w:val="00BC3A08"/>
    <w:rsid w:val="00BC3D02"/>
    <w:rsid w:val="00BD0EE1"/>
    <w:rsid w:val="00BD10AF"/>
    <w:rsid w:val="00BD1381"/>
    <w:rsid w:val="00BD28BD"/>
    <w:rsid w:val="00BD652B"/>
    <w:rsid w:val="00BD7554"/>
    <w:rsid w:val="00BD7AAF"/>
    <w:rsid w:val="00BD7D81"/>
    <w:rsid w:val="00BE1537"/>
    <w:rsid w:val="00BE52AE"/>
    <w:rsid w:val="00BE5C2C"/>
    <w:rsid w:val="00BE7F70"/>
    <w:rsid w:val="00BF006F"/>
    <w:rsid w:val="00BF0483"/>
    <w:rsid w:val="00BF0669"/>
    <w:rsid w:val="00BF49F5"/>
    <w:rsid w:val="00BF53F7"/>
    <w:rsid w:val="00C03078"/>
    <w:rsid w:val="00C030D8"/>
    <w:rsid w:val="00C04307"/>
    <w:rsid w:val="00C04446"/>
    <w:rsid w:val="00C052DB"/>
    <w:rsid w:val="00C06366"/>
    <w:rsid w:val="00C06527"/>
    <w:rsid w:val="00C06FB8"/>
    <w:rsid w:val="00C07D3E"/>
    <w:rsid w:val="00C1170D"/>
    <w:rsid w:val="00C15086"/>
    <w:rsid w:val="00C159F4"/>
    <w:rsid w:val="00C16CE8"/>
    <w:rsid w:val="00C17EC5"/>
    <w:rsid w:val="00C2081D"/>
    <w:rsid w:val="00C2258A"/>
    <w:rsid w:val="00C2391D"/>
    <w:rsid w:val="00C24349"/>
    <w:rsid w:val="00C24DC8"/>
    <w:rsid w:val="00C24FC2"/>
    <w:rsid w:val="00C25444"/>
    <w:rsid w:val="00C27CE0"/>
    <w:rsid w:val="00C307B2"/>
    <w:rsid w:val="00C313AE"/>
    <w:rsid w:val="00C33DB1"/>
    <w:rsid w:val="00C340FC"/>
    <w:rsid w:val="00C345FB"/>
    <w:rsid w:val="00C3497E"/>
    <w:rsid w:val="00C364B2"/>
    <w:rsid w:val="00C379DF"/>
    <w:rsid w:val="00C440B9"/>
    <w:rsid w:val="00C46564"/>
    <w:rsid w:val="00C47DA5"/>
    <w:rsid w:val="00C513EC"/>
    <w:rsid w:val="00C51C2C"/>
    <w:rsid w:val="00C53C5E"/>
    <w:rsid w:val="00C55A57"/>
    <w:rsid w:val="00C55C5C"/>
    <w:rsid w:val="00C56E14"/>
    <w:rsid w:val="00C6183D"/>
    <w:rsid w:val="00C62087"/>
    <w:rsid w:val="00C6212D"/>
    <w:rsid w:val="00C62214"/>
    <w:rsid w:val="00C635EC"/>
    <w:rsid w:val="00C66B96"/>
    <w:rsid w:val="00C67DC1"/>
    <w:rsid w:val="00C70841"/>
    <w:rsid w:val="00C723B2"/>
    <w:rsid w:val="00C728FB"/>
    <w:rsid w:val="00C72D9B"/>
    <w:rsid w:val="00C730B0"/>
    <w:rsid w:val="00C74D74"/>
    <w:rsid w:val="00C755F4"/>
    <w:rsid w:val="00C7673A"/>
    <w:rsid w:val="00C76954"/>
    <w:rsid w:val="00C77B3F"/>
    <w:rsid w:val="00C82299"/>
    <w:rsid w:val="00C82EE1"/>
    <w:rsid w:val="00C851F6"/>
    <w:rsid w:val="00C854E1"/>
    <w:rsid w:val="00C85783"/>
    <w:rsid w:val="00C86204"/>
    <w:rsid w:val="00C86437"/>
    <w:rsid w:val="00C8709D"/>
    <w:rsid w:val="00C87149"/>
    <w:rsid w:val="00C91864"/>
    <w:rsid w:val="00C9198C"/>
    <w:rsid w:val="00C9355E"/>
    <w:rsid w:val="00C9521A"/>
    <w:rsid w:val="00C9589B"/>
    <w:rsid w:val="00C96888"/>
    <w:rsid w:val="00C96D5A"/>
    <w:rsid w:val="00CA0279"/>
    <w:rsid w:val="00CA1323"/>
    <w:rsid w:val="00CA3DCB"/>
    <w:rsid w:val="00CA4811"/>
    <w:rsid w:val="00CA59D8"/>
    <w:rsid w:val="00CA6533"/>
    <w:rsid w:val="00CA70DC"/>
    <w:rsid w:val="00CB0471"/>
    <w:rsid w:val="00CB0E8E"/>
    <w:rsid w:val="00CB0EC0"/>
    <w:rsid w:val="00CB48E9"/>
    <w:rsid w:val="00CB5C0D"/>
    <w:rsid w:val="00CB7735"/>
    <w:rsid w:val="00CC08BF"/>
    <w:rsid w:val="00CC404C"/>
    <w:rsid w:val="00CC42DF"/>
    <w:rsid w:val="00CC6997"/>
    <w:rsid w:val="00CC6B03"/>
    <w:rsid w:val="00CC7081"/>
    <w:rsid w:val="00CC7439"/>
    <w:rsid w:val="00CD0313"/>
    <w:rsid w:val="00CD0467"/>
    <w:rsid w:val="00CD0B47"/>
    <w:rsid w:val="00CD10AA"/>
    <w:rsid w:val="00CD16B6"/>
    <w:rsid w:val="00CD2E36"/>
    <w:rsid w:val="00CD4DD2"/>
    <w:rsid w:val="00CD7A77"/>
    <w:rsid w:val="00CE002A"/>
    <w:rsid w:val="00CE028E"/>
    <w:rsid w:val="00CE0950"/>
    <w:rsid w:val="00CE302E"/>
    <w:rsid w:val="00CE3EFB"/>
    <w:rsid w:val="00CE45D8"/>
    <w:rsid w:val="00CE5CB8"/>
    <w:rsid w:val="00CE7467"/>
    <w:rsid w:val="00CE7A2F"/>
    <w:rsid w:val="00CF15E0"/>
    <w:rsid w:val="00CF5596"/>
    <w:rsid w:val="00CF5BB7"/>
    <w:rsid w:val="00CF6E6B"/>
    <w:rsid w:val="00CF77B1"/>
    <w:rsid w:val="00D00F1A"/>
    <w:rsid w:val="00D02283"/>
    <w:rsid w:val="00D0371D"/>
    <w:rsid w:val="00D04791"/>
    <w:rsid w:val="00D05568"/>
    <w:rsid w:val="00D05847"/>
    <w:rsid w:val="00D06B75"/>
    <w:rsid w:val="00D07CD6"/>
    <w:rsid w:val="00D10EFB"/>
    <w:rsid w:val="00D11926"/>
    <w:rsid w:val="00D132BF"/>
    <w:rsid w:val="00D13869"/>
    <w:rsid w:val="00D14644"/>
    <w:rsid w:val="00D1562E"/>
    <w:rsid w:val="00D16170"/>
    <w:rsid w:val="00D1647F"/>
    <w:rsid w:val="00D17C99"/>
    <w:rsid w:val="00D21606"/>
    <w:rsid w:val="00D2346C"/>
    <w:rsid w:val="00D23EC8"/>
    <w:rsid w:val="00D2618A"/>
    <w:rsid w:val="00D26F47"/>
    <w:rsid w:val="00D327C0"/>
    <w:rsid w:val="00D3637E"/>
    <w:rsid w:val="00D41B52"/>
    <w:rsid w:val="00D42294"/>
    <w:rsid w:val="00D4258F"/>
    <w:rsid w:val="00D43032"/>
    <w:rsid w:val="00D4451E"/>
    <w:rsid w:val="00D45DE7"/>
    <w:rsid w:val="00D46F64"/>
    <w:rsid w:val="00D4715C"/>
    <w:rsid w:val="00D50E37"/>
    <w:rsid w:val="00D51212"/>
    <w:rsid w:val="00D53499"/>
    <w:rsid w:val="00D54A3A"/>
    <w:rsid w:val="00D55AD1"/>
    <w:rsid w:val="00D57A8C"/>
    <w:rsid w:val="00D60900"/>
    <w:rsid w:val="00D612AC"/>
    <w:rsid w:val="00D6159E"/>
    <w:rsid w:val="00D61691"/>
    <w:rsid w:val="00D6620B"/>
    <w:rsid w:val="00D70216"/>
    <w:rsid w:val="00D707D2"/>
    <w:rsid w:val="00D7132A"/>
    <w:rsid w:val="00D726EE"/>
    <w:rsid w:val="00D72887"/>
    <w:rsid w:val="00D72C2A"/>
    <w:rsid w:val="00D759A9"/>
    <w:rsid w:val="00D7730E"/>
    <w:rsid w:val="00D77774"/>
    <w:rsid w:val="00D80566"/>
    <w:rsid w:val="00D829DB"/>
    <w:rsid w:val="00D82BFF"/>
    <w:rsid w:val="00D83A1E"/>
    <w:rsid w:val="00D844AD"/>
    <w:rsid w:val="00D87DEC"/>
    <w:rsid w:val="00D911F5"/>
    <w:rsid w:val="00D91885"/>
    <w:rsid w:val="00D91956"/>
    <w:rsid w:val="00D922BE"/>
    <w:rsid w:val="00D96D13"/>
    <w:rsid w:val="00D9792C"/>
    <w:rsid w:val="00DA09D1"/>
    <w:rsid w:val="00DA2076"/>
    <w:rsid w:val="00DA3856"/>
    <w:rsid w:val="00DA38BD"/>
    <w:rsid w:val="00DA5EC8"/>
    <w:rsid w:val="00DA6963"/>
    <w:rsid w:val="00DA6EAD"/>
    <w:rsid w:val="00DB0102"/>
    <w:rsid w:val="00DB05DC"/>
    <w:rsid w:val="00DB2E32"/>
    <w:rsid w:val="00DB37D3"/>
    <w:rsid w:val="00DB5260"/>
    <w:rsid w:val="00DC00E0"/>
    <w:rsid w:val="00DC1293"/>
    <w:rsid w:val="00DC136E"/>
    <w:rsid w:val="00DC1507"/>
    <w:rsid w:val="00DC2A07"/>
    <w:rsid w:val="00DC2B9E"/>
    <w:rsid w:val="00DC2EA8"/>
    <w:rsid w:val="00DC400B"/>
    <w:rsid w:val="00DC42CB"/>
    <w:rsid w:val="00DC4AF3"/>
    <w:rsid w:val="00DC5F9B"/>
    <w:rsid w:val="00DD028E"/>
    <w:rsid w:val="00DD1184"/>
    <w:rsid w:val="00DD20E1"/>
    <w:rsid w:val="00DD2671"/>
    <w:rsid w:val="00DD2FED"/>
    <w:rsid w:val="00DD3CF8"/>
    <w:rsid w:val="00DD5927"/>
    <w:rsid w:val="00DD5D72"/>
    <w:rsid w:val="00DD62C4"/>
    <w:rsid w:val="00DD65E6"/>
    <w:rsid w:val="00DD6B35"/>
    <w:rsid w:val="00DE0717"/>
    <w:rsid w:val="00DE168E"/>
    <w:rsid w:val="00DE1F95"/>
    <w:rsid w:val="00DE60AC"/>
    <w:rsid w:val="00DE7A15"/>
    <w:rsid w:val="00DE7FCE"/>
    <w:rsid w:val="00DF03F2"/>
    <w:rsid w:val="00DF08DD"/>
    <w:rsid w:val="00DF1B2F"/>
    <w:rsid w:val="00DF25E2"/>
    <w:rsid w:val="00DF3118"/>
    <w:rsid w:val="00E00D42"/>
    <w:rsid w:val="00E013F9"/>
    <w:rsid w:val="00E02101"/>
    <w:rsid w:val="00E0220F"/>
    <w:rsid w:val="00E03F06"/>
    <w:rsid w:val="00E04C6A"/>
    <w:rsid w:val="00E069C9"/>
    <w:rsid w:val="00E07148"/>
    <w:rsid w:val="00E1636C"/>
    <w:rsid w:val="00E16D33"/>
    <w:rsid w:val="00E214BE"/>
    <w:rsid w:val="00E21842"/>
    <w:rsid w:val="00E21A6C"/>
    <w:rsid w:val="00E22831"/>
    <w:rsid w:val="00E22967"/>
    <w:rsid w:val="00E250B1"/>
    <w:rsid w:val="00E26F10"/>
    <w:rsid w:val="00E30B4D"/>
    <w:rsid w:val="00E33A27"/>
    <w:rsid w:val="00E34F9A"/>
    <w:rsid w:val="00E35F3C"/>
    <w:rsid w:val="00E36A45"/>
    <w:rsid w:val="00E36D95"/>
    <w:rsid w:val="00E40320"/>
    <w:rsid w:val="00E409BE"/>
    <w:rsid w:val="00E4281B"/>
    <w:rsid w:val="00E476A5"/>
    <w:rsid w:val="00E52802"/>
    <w:rsid w:val="00E5540A"/>
    <w:rsid w:val="00E55557"/>
    <w:rsid w:val="00E5574B"/>
    <w:rsid w:val="00E5689F"/>
    <w:rsid w:val="00E56C55"/>
    <w:rsid w:val="00E57B6A"/>
    <w:rsid w:val="00E60D77"/>
    <w:rsid w:val="00E61161"/>
    <w:rsid w:val="00E621E0"/>
    <w:rsid w:val="00E643DF"/>
    <w:rsid w:val="00E64C94"/>
    <w:rsid w:val="00E65B5A"/>
    <w:rsid w:val="00E67CA3"/>
    <w:rsid w:val="00E70EC1"/>
    <w:rsid w:val="00E71A17"/>
    <w:rsid w:val="00E745CA"/>
    <w:rsid w:val="00E7473B"/>
    <w:rsid w:val="00E767D6"/>
    <w:rsid w:val="00E7711F"/>
    <w:rsid w:val="00E773E8"/>
    <w:rsid w:val="00E7743E"/>
    <w:rsid w:val="00E77948"/>
    <w:rsid w:val="00E77B6B"/>
    <w:rsid w:val="00E802F8"/>
    <w:rsid w:val="00E80E77"/>
    <w:rsid w:val="00E81667"/>
    <w:rsid w:val="00E820E9"/>
    <w:rsid w:val="00E82F02"/>
    <w:rsid w:val="00E8618B"/>
    <w:rsid w:val="00E86321"/>
    <w:rsid w:val="00E871AB"/>
    <w:rsid w:val="00E9277B"/>
    <w:rsid w:val="00E93444"/>
    <w:rsid w:val="00E93644"/>
    <w:rsid w:val="00E94048"/>
    <w:rsid w:val="00EA2639"/>
    <w:rsid w:val="00EA32BD"/>
    <w:rsid w:val="00EA5118"/>
    <w:rsid w:val="00EA5D6C"/>
    <w:rsid w:val="00EB05DA"/>
    <w:rsid w:val="00EB17C4"/>
    <w:rsid w:val="00EB1811"/>
    <w:rsid w:val="00EB4187"/>
    <w:rsid w:val="00EB71FF"/>
    <w:rsid w:val="00EB7D07"/>
    <w:rsid w:val="00EC373B"/>
    <w:rsid w:val="00EC3AD8"/>
    <w:rsid w:val="00EC59CA"/>
    <w:rsid w:val="00EC59D5"/>
    <w:rsid w:val="00EC7A0E"/>
    <w:rsid w:val="00EC7A8E"/>
    <w:rsid w:val="00EC7EE0"/>
    <w:rsid w:val="00EC7FF2"/>
    <w:rsid w:val="00ED0E61"/>
    <w:rsid w:val="00ED1B8E"/>
    <w:rsid w:val="00ED36F5"/>
    <w:rsid w:val="00ED5E08"/>
    <w:rsid w:val="00ED75F6"/>
    <w:rsid w:val="00EE0FA1"/>
    <w:rsid w:val="00EE0FF5"/>
    <w:rsid w:val="00EE1526"/>
    <w:rsid w:val="00EE2A65"/>
    <w:rsid w:val="00EE33FF"/>
    <w:rsid w:val="00EE397B"/>
    <w:rsid w:val="00EE56E8"/>
    <w:rsid w:val="00EF3A7C"/>
    <w:rsid w:val="00EF3CB3"/>
    <w:rsid w:val="00EF5861"/>
    <w:rsid w:val="00EF6594"/>
    <w:rsid w:val="00EF6919"/>
    <w:rsid w:val="00EF6E56"/>
    <w:rsid w:val="00EF6FBF"/>
    <w:rsid w:val="00EF6FD6"/>
    <w:rsid w:val="00F011CA"/>
    <w:rsid w:val="00F01806"/>
    <w:rsid w:val="00F029AE"/>
    <w:rsid w:val="00F03E09"/>
    <w:rsid w:val="00F03FB2"/>
    <w:rsid w:val="00F040A1"/>
    <w:rsid w:val="00F0720C"/>
    <w:rsid w:val="00F0902B"/>
    <w:rsid w:val="00F1149D"/>
    <w:rsid w:val="00F12003"/>
    <w:rsid w:val="00F13911"/>
    <w:rsid w:val="00F145A7"/>
    <w:rsid w:val="00F14B69"/>
    <w:rsid w:val="00F1597E"/>
    <w:rsid w:val="00F20463"/>
    <w:rsid w:val="00F21C25"/>
    <w:rsid w:val="00F22E3D"/>
    <w:rsid w:val="00F230A0"/>
    <w:rsid w:val="00F23702"/>
    <w:rsid w:val="00F24165"/>
    <w:rsid w:val="00F256CE"/>
    <w:rsid w:val="00F26978"/>
    <w:rsid w:val="00F27009"/>
    <w:rsid w:val="00F32246"/>
    <w:rsid w:val="00F3282E"/>
    <w:rsid w:val="00F33600"/>
    <w:rsid w:val="00F34444"/>
    <w:rsid w:val="00F34F8F"/>
    <w:rsid w:val="00F3588E"/>
    <w:rsid w:val="00F359C8"/>
    <w:rsid w:val="00F36BE4"/>
    <w:rsid w:val="00F37689"/>
    <w:rsid w:val="00F40128"/>
    <w:rsid w:val="00F405AF"/>
    <w:rsid w:val="00F44C40"/>
    <w:rsid w:val="00F453DE"/>
    <w:rsid w:val="00F4592B"/>
    <w:rsid w:val="00F45A0E"/>
    <w:rsid w:val="00F4774B"/>
    <w:rsid w:val="00F5022E"/>
    <w:rsid w:val="00F52CFC"/>
    <w:rsid w:val="00F53FD5"/>
    <w:rsid w:val="00F5641E"/>
    <w:rsid w:val="00F62743"/>
    <w:rsid w:val="00F6364B"/>
    <w:rsid w:val="00F6403E"/>
    <w:rsid w:val="00F640F7"/>
    <w:rsid w:val="00F67FFE"/>
    <w:rsid w:val="00F71D2F"/>
    <w:rsid w:val="00F72BDD"/>
    <w:rsid w:val="00F73222"/>
    <w:rsid w:val="00F735BC"/>
    <w:rsid w:val="00F75D73"/>
    <w:rsid w:val="00F8111D"/>
    <w:rsid w:val="00F828BF"/>
    <w:rsid w:val="00F82BCE"/>
    <w:rsid w:val="00F82FF1"/>
    <w:rsid w:val="00F83A54"/>
    <w:rsid w:val="00F84F3B"/>
    <w:rsid w:val="00F87F9D"/>
    <w:rsid w:val="00F90BCA"/>
    <w:rsid w:val="00F924EB"/>
    <w:rsid w:val="00F93BDE"/>
    <w:rsid w:val="00F94343"/>
    <w:rsid w:val="00F94D4B"/>
    <w:rsid w:val="00F96616"/>
    <w:rsid w:val="00FA0C6D"/>
    <w:rsid w:val="00FA0F56"/>
    <w:rsid w:val="00FA0FF6"/>
    <w:rsid w:val="00FA565D"/>
    <w:rsid w:val="00FA6F29"/>
    <w:rsid w:val="00FB1241"/>
    <w:rsid w:val="00FB3B2F"/>
    <w:rsid w:val="00FB4DEE"/>
    <w:rsid w:val="00FB5CC7"/>
    <w:rsid w:val="00FB64BA"/>
    <w:rsid w:val="00FB695A"/>
    <w:rsid w:val="00FB7F48"/>
    <w:rsid w:val="00FC28E8"/>
    <w:rsid w:val="00FC2A67"/>
    <w:rsid w:val="00FC5B7B"/>
    <w:rsid w:val="00FC5D94"/>
    <w:rsid w:val="00FD0FC2"/>
    <w:rsid w:val="00FD1291"/>
    <w:rsid w:val="00FD1B0C"/>
    <w:rsid w:val="00FD4AB0"/>
    <w:rsid w:val="00FD546B"/>
    <w:rsid w:val="00FE03C0"/>
    <w:rsid w:val="00FE03DF"/>
    <w:rsid w:val="00FE23B8"/>
    <w:rsid w:val="00FE268F"/>
    <w:rsid w:val="00FE44A1"/>
    <w:rsid w:val="00FE4FBB"/>
    <w:rsid w:val="00FE5684"/>
    <w:rsid w:val="00FE6EF0"/>
    <w:rsid w:val="00FF1C21"/>
    <w:rsid w:val="00FF1D3A"/>
    <w:rsid w:val="00FF33B3"/>
    <w:rsid w:val="00FF60D6"/>
    <w:rsid w:val="00FF7BAE"/>
    <w:rsid w:val="00FF7CEF"/>
    <w:rsid w:val="0115D296"/>
    <w:rsid w:val="0128E915"/>
    <w:rsid w:val="020EB26D"/>
    <w:rsid w:val="02195EC0"/>
    <w:rsid w:val="02992E6C"/>
    <w:rsid w:val="02BB0683"/>
    <w:rsid w:val="030C598C"/>
    <w:rsid w:val="0318F858"/>
    <w:rsid w:val="03997815"/>
    <w:rsid w:val="03A906FF"/>
    <w:rsid w:val="0412F476"/>
    <w:rsid w:val="0413738C"/>
    <w:rsid w:val="04B66ADA"/>
    <w:rsid w:val="04BE2207"/>
    <w:rsid w:val="04D96EB4"/>
    <w:rsid w:val="04E9E03D"/>
    <w:rsid w:val="0553C67F"/>
    <w:rsid w:val="057860A7"/>
    <w:rsid w:val="05C9BF87"/>
    <w:rsid w:val="05FEFBA0"/>
    <w:rsid w:val="0604BC7C"/>
    <w:rsid w:val="064A73BC"/>
    <w:rsid w:val="06DA9582"/>
    <w:rsid w:val="0809FC1C"/>
    <w:rsid w:val="081077FE"/>
    <w:rsid w:val="081F328C"/>
    <w:rsid w:val="0864B186"/>
    <w:rsid w:val="08783967"/>
    <w:rsid w:val="08B75857"/>
    <w:rsid w:val="08CEEB42"/>
    <w:rsid w:val="092D4FDC"/>
    <w:rsid w:val="0939D4D7"/>
    <w:rsid w:val="0992F4EA"/>
    <w:rsid w:val="09B3C48B"/>
    <w:rsid w:val="09BD5160"/>
    <w:rsid w:val="09CD3190"/>
    <w:rsid w:val="09DA102A"/>
    <w:rsid w:val="0AC36AFF"/>
    <w:rsid w:val="0AE37568"/>
    <w:rsid w:val="0B351C30"/>
    <w:rsid w:val="0B8A9837"/>
    <w:rsid w:val="0BAE363C"/>
    <w:rsid w:val="0BBE4230"/>
    <w:rsid w:val="0C53D994"/>
    <w:rsid w:val="0C557A69"/>
    <w:rsid w:val="0C72F266"/>
    <w:rsid w:val="0C976A4E"/>
    <w:rsid w:val="0CA27BE5"/>
    <w:rsid w:val="0CEC2C6A"/>
    <w:rsid w:val="0D3E16F6"/>
    <w:rsid w:val="0D3F78B7"/>
    <w:rsid w:val="0D564334"/>
    <w:rsid w:val="0DB88F6A"/>
    <w:rsid w:val="0DE4CC43"/>
    <w:rsid w:val="0E0E9044"/>
    <w:rsid w:val="0E39F945"/>
    <w:rsid w:val="0E714132"/>
    <w:rsid w:val="0E78FBE7"/>
    <w:rsid w:val="0E893A9F"/>
    <w:rsid w:val="0EA30411"/>
    <w:rsid w:val="0EE92A83"/>
    <w:rsid w:val="0F5C5538"/>
    <w:rsid w:val="0F9231A9"/>
    <w:rsid w:val="0FC10919"/>
    <w:rsid w:val="0FF950CE"/>
    <w:rsid w:val="101A5AEF"/>
    <w:rsid w:val="10A1D636"/>
    <w:rsid w:val="10A5131A"/>
    <w:rsid w:val="10D2436D"/>
    <w:rsid w:val="10E34750"/>
    <w:rsid w:val="10F54BEF"/>
    <w:rsid w:val="1128EB8C"/>
    <w:rsid w:val="11DC656C"/>
    <w:rsid w:val="12AB9390"/>
    <w:rsid w:val="13A45A61"/>
    <w:rsid w:val="13D9BD68"/>
    <w:rsid w:val="13F97241"/>
    <w:rsid w:val="13FFB0CB"/>
    <w:rsid w:val="1457015C"/>
    <w:rsid w:val="146385DD"/>
    <w:rsid w:val="14754CDB"/>
    <w:rsid w:val="14FC1290"/>
    <w:rsid w:val="1535CD7C"/>
    <w:rsid w:val="15D9E701"/>
    <w:rsid w:val="1723A88D"/>
    <w:rsid w:val="17C85164"/>
    <w:rsid w:val="17D3A381"/>
    <w:rsid w:val="17D953A7"/>
    <w:rsid w:val="1816FC7E"/>
    <w:rsid w:val="18529D2B"/>
    <w:rsid w:val="18755DFF"/>
    <w:rsid w:val="187C565D"/>
    <w:rsid w:val="18829005"/>
    <w:rsid w:val="18E412ED"/>
    <w:rsid w:val="18EF1A41"/>
    <w:rsid w:val="190340ED"/>
    <w:rsid w:val="1919FA14"/>
    <w:rsid w:val="191AD514"/>
    <w:rsid w:val="1977C570"/>
    <w:rsid w:val="19EC391E"/>
    <w:rsid w:val="1A866F13"/>
    <w:rsid w:val="1A9B6B65"/>
    <w:rsid w:val="1A9CEC7D"/>
    <w:rsid w:val="1AAC8448"/>
    <w:rsid w:val="1AFA6D74"/>
    <w:rsid w:val="1B0B4443"/>
    <w:rsid w:val="1B3E24BC"/>
    <w:rsid w:val="1B6D4D4D"/>
    <w:rsid w:val="1BBB221A"/>
    <w:rsid w:val="1C298200"/>
    <w:rsid w:val="1C50A575"/>
    <w:rsid w:val="1CA714A4"/>
    <w:rsid w:val="1CB3E807"/>
    <w:rsid w:val="1D274E12"/>
    <w:rsid w:val="1D6448DB"/>
    <w:rsid w:val="1DB7D79D"/>
    <w:rsid w:val="1DBB0588"/>
    <w:rsid w:val="1DEB0D06"/>
    <w:rsid w:val="1DF98AF5"/>
    <w:rsid w:val="1E1EE85B"/>
    <w:rsid w:val="1E4EEE1F"/>
    <w:rsid w:val="1EA24554"/>
    <w:rsid w:val="1F133FA5"/>
    <w:rsid w:val="1F3D216C"/>
    <w:rsid w:val="1F525852"/>
    <w:rsid w:val="1F5B8448"/>
    <w:rsid w:val="1F83DF0B"/>
    <w:rsid w:val="1F8C054E"/>
    <w:rsid w:val="1FB6D092"/>
    <w:rsid w:val="1FC04028"/>
    <w:rsid w:val="1FC58D09"/>
    <w:rsid w:val="1FDEB566"/>
    <w:rsid w:val="1FEDC0FB"/>
    <w:rsid w:val="20311869"/>
    <w:rsid w:val="2066340E"/>
    <w:rsid w:val="20792174"/>
    <w:rsid w:val="2092E22C"/>
    <w:rsid w:val="209C2BEA"/>
    <w:rsid w:val="215BEF3F"/>
    <w:rsid w:val="21B552CB"/>
    <w:rsid w:val="21CEDFD7"/>
    <w:rsid w:val="21F3267D"/>
    <w:rsid w:val="220FB276"/>
    <w:rsid w:val="222F33C7"/>
    <w:rsid w:val="2235F397"/>
    <w:rsid w:val="22439862"/>
    <w:rsid w:val="2259C57F"/>
    <w:rsid w:val="22C1B75A"/>
    <w:rsid w:val="23329DFA"/>
    <w:rsid w:val="2339D0A4"/>
    <w:rsid w:val="236306D1"/>
    <w:rsid w:val="23A8DC97"/>
    <w:rsid w:val="240D152C"/>
    <w:rsid w:val="242BDD7B"/>
    <w:rsid w:val="2452363D"/>
    <w:rsid w:val="24C3F700"/>
    <w:rsid w:val="24D7D51D"/>
    <w:rsid w:val="25B2BBE4"/>
    <w:rsid w:val="25E3C675"/>
    <w:rsid w:val="263CDC93"/>
    <w:rsid w:val="267A2A7F"/>
    <w:rsid w:val="26E1B869"/>
    <w:rsid w:val="27081DDC"/>
    <w:rsid w:val="278A6538"/>
    <w:rsid w:val="28000A89"/>
    <w:rsid w:val="282F4E77"/>
    <w:rsid w:val="287CFDBF"/>
    <w:rsid w:val="28D91253"/>
    <w:rsid w:val="299C4B35"/>
    <w:rsid w:val="2A0D8C00"/>
    <w:rsid w:val="2A9D5106"/>
    <w:rsid w:val="2ACFD1C5"/>
    <w:rsid w:val="2AD11843"/>
    <w:rsid w:val="2B1D9716"/>
    <w:rsid w:val="2B52821E"/>
    <w:rsid w:val="2B72FF8E"/>
    <w:rsid w:val="2B965446"/>
    <w:rsid w:val="2BD70036"/>
    <w:rsid w:val="2BE30308"/>
    <w:rsid w:val="2C808BF3"/>
    <w:rsid w:val="2C82CAE2"/>
    <w:rsid w:val="2D3C1114"/>
    <w:rsid w:val="2D9BB9B1"/>
    <w:rsid w:val="2DA76F0D"/>
    <w:rsid w:val="2DF31D78"/>
    <w:rsid w:val="2E026B43"/>
    <w:rsid w:val="2E4B5006"/>
    <w:rsid w:val="2E4D7E1E"/>
    <w:rsid w:val="2E8E7038"/>
    <w:rsid w:val="2EB0A64F"/>
    <w:rsid w:val="2ECC7465"/>
    <w:rsid w:val="2ECF4246"/>
    <w:rsid w:val="2ED9B6E8"/>
    <w:rsid w:val="2EEAB0C3"/>
    <w:rsid w:val="2EEEC397"/>
    <w:rsid w:val="2F0307BD"/>
    <w:rsid w:val="2F6095B0"/>
    <w:rsid w:val="2F613B2D"/>
    <w:rsid w:val="2F8CE891"/>
    <w:rsid w:val="2FAC441B"/>
    <w:rsid w:val="30770C59"/>
    <w:rsid w:val="30AA8A69"/>
    <w:rsid w:val="30CB0EE7"/>
    <w:rsid w:val="31A5697F"/>
    <w:rsid w:val="3214494B"/>
    <w:rsid w:val="32620CFC"/>
    <w:rsid w:val="326A03E1"/>
    <w:rsid w:val="326FD70F"/>
    <w:rsid w:val="32D7C841"/>
    <w:rsid w:val="32E2A48E"/>
    <w:rsid w:val="3348D6E3"/>
    <w:rsid w:val="33B2B77F"/>
    <w:rsid w:val="33D545E0"/>
    <w:rsid w:val="33DEFCE3"/>
    <w:rsid w:val="342231B9"/>
    <w:rsid w:val="3457A708"/>
    <w:rsid w:val="345B01E3"/>
    <w:rsid w:val="34B3765E"/>
    <w:rsid w:val="34D823C5"/>
    <w:rsid w:val="35740FA9"/>
    <w:rsid w:val="35A43925"/>
    <w:rsid w:val="365B316B"/>
    <w:rsid w:val="3696A7DC"/>
    <w:rsid w:val="36A5DC4D"/>
    <w:rsid w:val="36AA4C98"/>
    <w:rsid w:val="36DFC9CC"/>
    <w:rsid w:val="36E34370"/>
    <w:rsid w:val="36E6720B"/>
    <w:rsid w:val="3723EF1A"/>
    <w:rsid w:val="372D17CF"/>
    <w:rsid w:val="37547910"/>
    <w:rsid w:val="377AE40F"/>
    <w:rsid w:val="377C38BD"/>
    <w:rsid w:val="378FB553"/>
    <w:rsid w:val="37C94B0E"/>
    <w:rsid w:val="380FC487"/>
    <w:rsid w:val="384AA259"/>
    <w:rsid w:val="386D641B"/>
    <w:rsid w:val="38E818FD"/>
    <w:rsid w:val="38ED1A8A"/>
    <w:rsid w:val="38EE9B68"/>
    <w:rsid w:val="3970C74A"/>
    <w:rsid w:val="3A1D9544"/>
    <w:rsid w:val="3AA8D550"/>
    <w:rsid w:val="3AD0E6EE"/>
    <w:rsid w:val="3B27CBF5"/>
    <w:rsid w:val="3B809856"/>
    <w:rsid w:val="3BBE06A0"/>
    <w:rsid w:val="3BC65633"/>
    <w:rsid w:val="3BE9055F"/>
    <w:rsid w:val="3C12148C"/>
    <w:rsid w:val="3C199CFB"/>
    <w:rsid w:val="3C510536"/>
    <w:rsid w:val="3C5A8154"/>
    <w:rsid w:val="3C5C74B4"/>
    <w:rsid w:val="3D29DD5D"/>
    <w:rsid w:val="3D3C6704"/>
    <w:rsid w:val="3D53FBCA"/>
    <w:rsid w:val="3D98BA4B"/>
    <w:rsid w:val="3E38D2DD"/>
    <w:rsid w:val="3E3D038E"/>
    <w:rsid w:val="3E3EADA9"/>
    <w:rsid w:val="3E889164"/>
    <w:rsid w:val="3EE9EE80"/>
    <w:rsid w:val="3F375DA1"/>
    <w:rsid w:val="3F8B80CD"/>
    <w:rsid w:val="3FAEE079"/>
    <w:rsid w:val="402461C5"/>
    <w:rsid w:val="402D09C4"/>
    <w:rsid w:val="4058A304"/>
    <w:rsid w:val="40E2C3B3"/>
    <w:rsid w:val="410F8E64"/>
    <w:rsid w:val="41427613"/>
    <w:rsid w:val="41532B8D"/>
    <w:rsid w:val="41564729"/>
    <w:rsid w:val="41F7AA25"/>
    <w:rsid w:val="4221917A"/>
    <w:rsid w:val="42597487"/>
    <w:rsid w:val="426FE8F3"/>
    <w:rsid w:val="432CCB9F"/>
    <w:rsid w:val="433732C0"/>
    <w:rsid w:val="437ADB0A"/>
    <w:rsid w:val="438B19C2"/>
    <w:rsid w:val="43E3BB47"/>
    <w:rsid w:val="4421F39B"/>
    <w:rsid w:val="447E453D"/>
    <w:rsid w:val="44DF6493"/>
    <w:rsid w:val="44F7D041"/>
    <w:rsid w:val="4602A216"/>
    <w:rsid w:val="4635FC0A"/>
    <w:rsid w:val="46582CD8"/>
    <w:rsid w:val="468C6EB6"/>
    <w:rsid w:val="46A01CD4"/>
    <w:rsid w:val="46B2B25E"/>
    <w:rsid w:val="46E69C8B"/>
    <w:rsid w:val="47127C5C"/>
    <w:rsid w:val="4751747D"/>
    <w:rsid w:val="475564CE"/>
    <w:rsid w:val="4770E431"/>
    <w:rsid w:val="479107D9"/>
    <w:rsid w:val="47E50E90"/>
    <w:rsid w:val="47EC01A0"/>
    <w:rsid w:val="47EE95F7"/>
    <w:rsid w:val="48179BB8"/>
    <w:rsid w:val="4858A9BC"/>
    <w:rsid w:val="487A1557"/>
    <w:rsid w:val="488ACFD0"/>
    <w:rsid w:val="48990498"/>
    <w:rsid w:val="48BD0E1A"/>
    <w:rsid w:val="48D23A01"/>
    <w:rsid w:val="494B213C"/>
    <w:rsid w:val="49B479EA"/>
    <w:rsid w:val="49F5FA2F"/>
    <w:rsid w:val="4AA72E11"/>
    <w:rsid w:val="4ABF277E"/>
    <w:rsid w:val="4B16494E"/>
    <w:rsid w:val="4B1E7D0A"/>
    <w:rsid w:val="4B415148"/>
    <w:rsid w:val="4B7389E6"/>
    <w:rsid w:val="4B7C309D"/>
    <w:rsid w:val="4BB526D6"/>
    <w:rsid w:val="4C1D3C4B"/>
    <w:rsid w:val="4C63746F"/>
    <w:rsid w:val="4CFF82DA"/>
    <w:rsid w:val="4D42AF8E"/>
    <w:rsid w:val="4D5DD952"/>
    <w:rsid w:val="4DA6D44E"/>
    <w:rsid w:val="4DB251AE"/>
    <w:rsid w:val="4E122751"/>
    <w:rsid w:val="4E6FAD1D"/>
    <w:rsid w:val="4E7BB002"/>
    <w:rsid w:val="4EBF4020"/>
    <w:rsid w:val="4EC35E9A"/>
    <w:rsid w:val="4F0AFD5E"/>
    <w:rsid w:val="4FD43D4A"/>
    <w:rsid w:val="50433C63"/>
    <w:rsid w:val="504920BA"/>
    <w:rsid w:val="507FAB2F"/>
    <w:rsid w:val="50D90185"/>
    <w:rsid w:val="50F53ABD"/>
    <w:rsid w:val="5127AB67"/>
    <w:rsid w:val="5191E523"/>
    <w:rsid w:val="51999FD8"/>
    <w:rsid w:val="51A488BE"/>
    <w:rsid w:val="52314088"/>
    <w:rsid w:val="524F8825"/>
    <w:rsid w:val="52B8139D"/>
    <w:rsid w:val="52F4866B"/>
    <w:rsid w:val="5313EB6C"/>
    <w:rsid w:val="531540CD"/>
    <w:rsid w:val="53A5382E"/>
    <w:rsid w:val="53ADBD9E"/>
    <w:rsid w:val="53EDF54F"/>
    <w:rsid w:val="54227496"/>
    <w:rsid w:val="542DAD8B"/>
    <w:rsid w:val="54EFCBEB"/>
    <w:rsid w:val="54F239D1"/>
    <w:rsid w:val="5525D684"/>
    <w:rsid w:val="5597A069"/>
    <w:rsid w:val="55A108B2"/>
    <w:rsid w:val="55C64334"/>
    <w:rsid w:val="567DEDD8"/>
    <w:rsid w:val="57194C4E"/>
    <w:rsid w:val="575C665C"/>
    <w:rsid w:val="5793FF72"/>
    <w:rsid w:val="57ABBE2F"/>
    <w:rsid w:val="57CA541B"/>
    <w:rsid w:val="57FC328B"/>
    <w:rsid w:val="5809CBAA"/>
    <w:rsid w:val="582A72F0"/>
    <w:rsid w:val="58AF083E"/>
    <w:rsid w:val="58E3E1E6"/>
    <w:rsid w:val="5912A483"/>
    <w:rsid w:val="5937E750"/>
    <w:rsid w:val="5950393D"/>
    <w:rsid w:val="598498F4"/>
    <w:rsid w:val="59879C70"/>
    <w:rsid w:val="59BC14F5"/>
    <w:rsid w:val="59C95D12"/>
    <w:rsid w:val="59CAB3A3"/>
    <w:rsid w:val="59DE6127"/>
    <w:rsid w:val="5A0BCE92"/>
    <w:rsid w:val="5ACEE5F8"/>
    <w:rsid w:val="5AE4C0B2"/>
    <w:rsid w:val="5AF34A8A"/>
    <w:rsid w:val="5B021D13"/>
    <w:rsid w:val="5B26C249"/>
    <w:rsid w:val="5B429D82"/>
    <w:rsid w:val="5BBB9050"/>
    <w:rsid w:val="5BD33826"/>
    <w:rsid w:val="5BF24D17"/>
    <w:rsid w:val="5BF57445"/>
    <w:rsid w:val="5CDB238F"/>
    <w:rsid w:val="5D3DA296"/>
    <w:rsid w:val="5DF8BF03"/>
    <w:rsid w:val="5DF90B1B"/>
    <w:rsid w:val="5EE9B8C9"/>
    <w:rsid w:val="5F0DB700"/>
    <w:rsid w:val="5F23C6BB"/>
    <w:rsid w:val="5F7ACFF8"/>
    <w:rsid w:val="5F8C018E"/>
    <w:rsid w:val="5FA613A6"/>
    <w:rsid w:val="5FDD9C63"/>
    <w:rsid w:val="6030F632"/>
    <w:rsid w:val="609492D3"/>
    <w:rsid w:val="60A98628"/>
    <w:rsid w:val="60B11ECC"/>
    <w:rsid w:val="60D6901F"/>
    <w:rsid w:val="6129A61C"/>
    <w:rsid w:val="614339EF"/>
    <w:rsid w:val="615CA943"/>
    <w:rsid w:val="618758AC"/>
    <w:rsid w:val="618A691A"/>
    <w:rsid w:val="6212F7B5"/>
    <w:rsid w:val="6226667F"/>
    <w:rsid w:val="6275AAA5"/>
    <w:rsid w:val="6280D468"/>
    <w:rsid w:val="62F62C41"/>
    <w:rsid w:val="63041805"/>
    <w:rsid w:val="6375F6C0"/>
    <w:rsid w:val="63A33127"/>
    <w:rsid w:val="63C307BF"/>
    <w:rsid w:val="63D2CACB"/>
    <w:rsid w:val="63F6B5D6"/>
    <w:rsid w:val="6417E81F"/>
    <w:rsid w:val="642206F5"/>
    <w:rsid w:val="6448FCA6"/>
    <w:rsid w:val="646146DE"/>
    <w:rsid w:val="646A5B3F"/>
    <w:rsid w:val="649AEBB0"/>
    <w:rsid w:val="650F7B36"/>
    <w:rsid w:val="65227BAE"/>
    <w:rsid w:val="6537DE4B"/>
    <w:rsid w:val="6543B5CE"/>
    <w:rsid w:val="6575F680"/>
    <w:rsid w:val="65A9752F"/>
    <w:rsid w:val="65C47FE9"/>
    <w:rsid w:val="65E14D7A"/>
    <w:rsid w:val="667B5D6A"/>
    <w:rsid w:val="66DEB504"/>
    <w:rsid w:val="66EDF8AC"/>
    <w:rsid w:val="6726EC15"/>
    <w:rsid w:val="67654DE0"/>
    <w:rsid w:val="67745DA8"/>
    <w:rsid w:val="677FBF43"/>
    <w:rsid w:val="67C17EF2"/>
    <w:rsid w:val="684A8067"/>
    <w:rsid w:val="688B901F"/>
    <w:rsid w:val="694002AD"/>
    <w:rsid w:val="69563376"/>
    <w:rsid w:val="698CA915"/>
    <w:rsid w:val="69EAE3B0"/>
    <w:rsid w:val="69FD97FA"/>
    <w:rsid w:val="6A0B1036"/>
    <w:rsid w:val="6ADC6664"/>
    <w:rsid w:val="6AECC906"/>
    <w:rsid w:val="6B26E5DF"/>
    <w:rsid w:val="6B46AAB8"/>
    <w:rsid w:val="6B83A36A"/>
    <w:rsid w:val="6C6BCB70"/>
    <w:rsid w:val="6C74D5AC"/>
    <w:rsid w:val="6CCCDC05"/>
    <w:rsid w:val="6D0324F8"/>
    <w:rsid w:val="6E513420"/>
    <w:rsid w:val="6E6B3889"/>
    <w:rsid w:val="6EAEC7D0"/>
    <w:rsid w:val="6F495FEF"/>
    <w:rsid w:val="701FCCA0"/>
    <w:rsid w:val="702171E9"/>
    <w:rsid w:val="703D54B8"/>
    <w:rsid w:val="704E9395"/>
    <w:rsid w:val="70C4D4EA"/>
    <w:rsid w:val="712336D3"/>
    <w:rsid w:val="72072673"/>
    <w:rsid w:val="720F9A59"/>
    <w:rsid w:val="72114B1E"/>
    <w:rsid w:val="7227167D"/>
    <w:rsid w:val="72729AD7"/>
    <w:rsid w:val="7311062C"/>
    <w:rsid w:val="7340E70E"/>
    <w:rsid w:val="738D330E"/>
    <w:rsid w:val="73ADC9F4"/>
    <w:rsid w:val="73E81802"/>
    <w:rsid w:val="74303287"/>
    <w:rsid w:val="7456B745"/>
    <w:rsid w:val="745C36FD"/>
    <w:rsid w:val="745E424B"/>
    <w:rsid w:val="7480C2CC"/>
    <w:rsid w:val="74873D9F"/>
    <w:rsid w:val="749560B5"/>
    <w:rsid w:val="749831E5"/>
    <w:rsid w:val="74FBF497"/>
    <w:rsid w:val="7505B3A4"/>
    <w:rsid w:val="7556EBBA"/>
    <w:rsid w:val="756D67FF"/>
    <w:rsid w:val="758B573C"/>
    <w:rsid w:val="75925FF8"/>
    <w:rsid w:val="759AE68A"/>
    <w:rsid w:val="75E89A6C"/>
    <w:rsid w:val="7652AC08"/>
    <w:rsid w:val="7663BFD2"/>
    <w:rsid w:val="76B460A7"/>
    <w:rsid w:val="76F224A3"/>
    <w:rsid w:val="7702CA41"/>
    <w:rsid w:val="77297E42"/>
    <w:rsid w:val="778440A9"/>
    <w:rsid w:val="77C58E28"/>
    <w:rsid w:val="77DAD2E2"/>
    <w:rsid w:val="77E3449B"/>
    <w:rsid w:val="7806A92D"/>
    <w:rsid w:val="7836E828"/>
    <w:rsid w:val="784326FD"/>
    <w:rsid w:val="786891B7"/>
    <w:rsid w:val="7889A600"/>
    <w:rsid w:val="79799482"/>
    <w:rsid w:val="79A0E982"/>
    <w:rsid w:val="79B5CA5D"/>
    <w:rsid w:val="79C4E87E"/>
    <w:rsid w:val="7A046218"/>
    <w:rsid w:val="7A1E7B40"/>
    <w:rsid w:val="7A2B45AC"/>
    <w:rsid w:val="7A3F4598"/>
    <w:rsid w:val="7A474E78"/>
    <w:rsid w:val="7A603AA5"/>
    <w:rsid w:val="7A9B552F"/>
    <w:rsid w:val="7A9ED1DA"/>
    <w:rsid w:val="7AF4CA6D"/>
    <w:rsid w:val="7B149EB3"/>
    <w:rsid w:val="7B263AA8"/>
    <w:rsid w:val="7B83AFC5"/>
    <w:rsid w:val="7BB745ED"/>
    <w:rsid w:val="7BCA950E"/>
    <w:rsid w:val="7BDC2F66"/>
    <w:rsid w:val="7BF1EDA0"/>
    <w:rsid w:val="7BFE9CD4"/>
    <w:rsid w:val="7C11915B"/>
    <w:rsid w:val="7C450668"/>
    <w:rsid w:val="7C61EEA4"/>
    <w:rsid w:val="7C804D25"/>
    <w:rsid w:val="7C8A3028"/>
    <w:rsid w:val="7CF2445A"/>
    <w:rsid w:val="7D200D5E"/>
    <w:rsid w:val="7D6060A9"/>
    <w:rsid w:val="7D83F5DA"/>
    <w:rsid w:val="7DB3F093"/>
    <w:rsid w:val="7DBC1F37"/>
    <w:rsid w:val="7DEA2515"/>
    <w:rsid w:val="7DFA51FB"/>
    <w:rsid w:val="7E09AD80"/>
    <w:rsid w:val="7E63D43B"/>
    <w:rsid w:val="7E6B8EF0"/>
    <w:rsid w:val="7EBBDDBF"/>
    <w:rsid w:val="7ECE089E"/>
    <w:rsid w:val="7EFC9CD0"/>
    <w:rsid w:val="7F03C9CE"/>
    <w:rsid w:val="7F56F8D9"/>
    <w:rsid w:val="7F773C9B"/>
    <w:rsid w:val="7FDDC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Name"/>
  <w:smartTagType w:namespaceuri="urn:schemas-microsoft-com:office:smarttags" w:name="place"/>
  <w:smartTagType w:namespaceuri="urn:schemas-microsoft-com:office:smarttags" w:name="country-region"/>
  <w:shapeDefaults>
    <o:shapedefaults v:ext="edit" spidmax="2050"/>
    <o:shapelayout v:ext="edit">
      <o:idmap v:ext="edit" data="2"/>
    </o:shapelayout>
  </w:shapeDefaults>
  <w:decimalSymbol w:val="."/>
  <w:listSeparator w:val=","/>
  <w14:docId w14:val="3914BE6A"/>
  <w15:chartTrackingRefBased/>
  <w15:docId w15:val="{B59C7BD8-4EEE-444E-84E3-5E2A6C16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77DDB"/>
    <w:pPr>
      <w:spacing w:before="120" w:after="0"/>
      <w:jc w:val="both"/>
    </w:pPr>
    <w:rPr>
      <w:rFonts w:ascii="Arial" w:hAnsi="Arial"/>
      <w:sz w:val="24"/>
    </w:rPr>
  </w:style>
  <w:style w:type="paragraph" w:styleId="Heading1">
    <w:name w:val="heading 1"/>
    <w:basedOn w:val="Normal"/>
    <w:next w:val="Normal"/>
    <w:link w:val="Heading1Char"/>
    <w:uiPriority w:val="9"/>
    <w:qFormat/>
    <w:rsid w:val="00AC62D9"/>
    <w:pPr>
      <w:keepNext/>
      <w:keepLines/>
      <w:pageBreakBefore/>
      <w:numPr>
        <w:numId w:val="2"/>
      </w:numPr>
      <w:spacing w:before="0" w:after="240"/>
      <w:jc w:val="left"/>
      <w:outlineLvl w:val="0"/>
    </w:pPr>
    <w:rPr>
      <w:rFonts w:eastAsiaTheme="majorEastAsia" w:cstheme="majorBidi"/>
      <w:color w:val="2F5496" w:themeColor="accent1" w:themeShade="BF"/>
      <w:sz w:val="32"/>
      <w:szCs w:val="32"/>
    </w:rPr>
  </w:style>
  <w:style w:type="paragraph" w:styleId="Heading2">
    <w:name w:val="heading 2"/>
    <w:basedOn w:val="Heading1"/>
    <w:next w:val="Normal"/>
    <w:link w:val="Heading2Char"/>
    <w:uiPriority w:val="9"/>
    <w:unhideWhenUsed/>
    <w:qFormat/>
    <w:rsid w:val="00AC62D9"/>
    <w:pPr>
      <w:pageBreakBefore w:val="0"/>
      <w:numPr>
        <w:ilvl w:val="1"/>
      </w:numPr>
      <w:spacing w:before="240"/>
      <w:outlineLvl w:val="1"/>
    </w:pPr>
    <w:rPr>
      <w:sz w:val="28"/>
      <w:szCs w:val="26"/>
    </w:rPr>
  </w:style>
  <w:style w:type="paragraph" w:styleId="Heading3">
    <w:name w:val="heading 3"/>
    <w:basedOn w:val="Heading2"/>
    <w:next w:val="Normal"/>
    <w:link w:val="Heading3Char"/>
    <w:uiPriority w:val="9"/>
    <w:qFormat/>
    <w:rsid w:val="00194FA8"/>
    <w:pPr>
      <w:numPr>
        <w:ilvl w:val="2"/>
      </w:numPr>
      <w:outlineLvl w:val="2"/>
    </w:pPr>
    <w:rPr>
      <w:rFonts w:eastAsia="Times New Roman" w:cs="Times New Roman"/>
      <w:bCs/>
      <w:sz w:val="24"/>
      <w:szCs w:val="27"/>
    </w:rPr>
  </w:style>
  <w:style w:type="paragraph" w:styleId="Heading4">
    <w:name w:val="heading 4"/>
    <w:basedOn w:val="Normal"/>
    <w:next w:val="Normal"/>
    <w:link w:val="Heading4Char"/>
    <w:uiPriority w:val="9"/>
    <w:semiHidden/>
    <w:unhideWhenUsed/>
    <w:qFormat/>
    <w:rsid w:val="00BD7554"/>
    <w:pPr>
      <w:keepNext/>
      <w:keepLines/>
      <w:numPr>
        <w:ilvl w:val="3"/>
        <w:numId w:val="2"/>
      </w:numPr>
      <w:outlineLvl w:val="3"/>
    </w:pPr>
    <w:rPr>
      <w:rFonts w:eastAsiaTheme="majorEastAsia" w:cstheme="majorBidi"/>
      <w:iCs/>
    </w:rPr>
  </w:style>
  <w:style w:type="paragraph" w:styleId="Heading5">
    <w:name w:val="heading 5"/>
    <w:basedOn w:val="Normal"/>
    <w:next w:val="Normal"/>
    <w:link w:val="Heading5Char"/>
    <w:uiPriority w:val="9"/>
    <w:semiHidden/>
    <w:unhideWhenUsed/>
    <w:qFormat/>
    <w:rsid w:val="00386935"/>
    <w:pPr>
      <w:keepNext/>
      <w:keepLines/>
      <w:numPr>
        <w:ilvl w:val="4"/>
        <w:numId w:val="2"/>
      </w:numPr>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86935"/>
    <w:pPr>
      <w:keepNext/>
      <w:keepLines/>
      <w:numPr>
        <w:ilvl w:val="5"/>
        <w:numId w:val="2"/>
      </w:numPr>
      <w:spacing w:before="4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86935"/>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86935"/>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86935"/>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C2583"/>
    <w:pPr>
      <w:spacing w:after="0" w:line="240" w:lineRule="auto"/>
    </w:pPr>
    <w:rPr>
      <w:rFonts w:ascii="Arial" w:hAnsi="Arial"/>
    </w:rPr>
    <w:tblPr>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dotted" w:sz="4" w:space="0" w:color="595959" w:themeColor="text1" w:themeTint="A6"/>
        <w:insideV w:val="dotted" w:sz="4" w:space="0" w:color="595959" w:themeColor="text1" w:themeTint="A6"/>
      </w:tblBorders>
      <w:tblCellMar>
        <w:top w:w="57" w:type="dxa"/>
        <w:left w:w="85" w:type="dxa"/>
        <w:bottom w:w="57" w:type="dxa"/>
        <w:right w:w="85" w:type="dxa"/>
      </w:tblCellMar>
    </w:tblPr>
    <w:trPr>
      <w:jc w:val="center"/>
    </w:trPr>
    <w:tblStylePr w:type="firstRow">
      <w:rPr>
        <w:b/>
      </w:rPr>
      <w:tblPr/>
      <w:tcPr>
        <w:tcBorders>
          <w:top w:val="single" w:sz="4" w:space="0" w:color="595959" w:themeColor="text1" w:themeTint="A6"/>
          <w:left w:val="single" w:sz="4" w:space="0" w:color="595959" w:themeColor="text1" w:themeTint="A6"/>
          <w:bottom w:val="single" w:sz="18" w:space="0" w:color="808080" w:themeColor="background1" w:themeShade="80"/>
          <w:right w:val="single" w:sz="4" w:space="0" w:color="595959" w:themeColor="text1" w:themeTint="A6"/>
          <w:insideH w:val="nil"/>
          <w:insideV w:val="dotted" w:sz="4" w:space="0" w:color="595959" w:themeColor="text1" w:themeTint="A6"/>
          <w:tl2br w:val="nil"/>
          <w:tr2bl w:val="nil"/>
        </w:tcBorders>
      </w:tcPr>
    </w:tblStylePr>
    <w:tblStylePr w:type="firstCol">
      <w:rPr>
        <w:b/>
      </w:rPr>
    </w:tblStylePr>
  </w:style>
  <w:style w:type="paragraph" w:styleId="Header">
    <w:name w:val="header"/>
    <w:basedOn w:val="Normal"/>
    <w:link w:val="HeaderChar"/>
    <w:uiPriority w:val="99"/>
    <w:unhideWhenUsed/>
    <w:rsid w:val="000E1082"/>
    <w:pPr>
      <w:tabs>
        <w:tab w:val="center" w:pos="4536"/>
        <w:tab w:val="right" w:pos="9072"/>
      </w:tabs>
      <w:spacing w:before="0" w:line="240" w:lineRule="auto"/>
      <w:jc w:val="left"/>
    </w:pPr>
    <w:rPr>
      <w:color w:val="595959" w:themeColor="text1" w:themeTint="A6"/>
      <w:sz w:val="20"/>
    </w:rPr>
  </w:style>
  <w:style w:type="character" w:customStyle="1" w:styleId="HeaderChar">
    <w:name w:val="Header Char"/>
    <w:basedOn w:val="DefaultParagraphFont"/>
    <w:link w:val="Header"/>
    <w:uiPriority w:val="99"/>
    <w:rsid w:val="000E1082"/>
    <w:rPr>
      <w:rFonts w:ascii="Arial" w:hAnsi="Arial"/>
      <w:color w:val="595959" w:themeColor="text1" w:themeTint="A6"/>
      <w:sz w:val="20"/>
    </w:rPr>
  </w:style>
  <w:style w:type="paragraph" w:styleId="Footer">
    <w:name w:val="footer"/>
    <w:basedOn w:val="Header"/>
    <w:link w:val="FooterChar"/>
    <w:uiPriority w:val="99"/>
    <w:unhideWhenUsed/>
    <w:rsid w:val="00665F38"/>
    <w:pPr>
      <w:pBdr>
        <w:top w:val="dotted" w:sz="4" w:space="2" w:color="595959" w:themeColor="text1" w:themeTint="A6"/>
      </w:pBdr>
    </w:pPr>
  </w:style>
  <w:style w:type="character" w:customStyle="1" w:styleId="FooterChar">
    <w:name w:val="Footer Char"/>
    <w:basedOn w:val="DefaultParagraphFont"/>
    <w:link w:val="Footer"/>
    <w:uiPriority w:val="99"/>
    <w:rsid w:val="00665F38"/>
    <w:rPr>
      <w:rFonts w:ascii="Arial" w:hAnsi="Arial"/>
      <w:sz w:val="20"/>
    </w:rPr>
  </w:style>
  <w:style w:type="character" w:styleId="Hyperlink">
    <w:name w:val="Hyperlink"/>
    <w:basedOn w:val="DefaultParagraphFont"/>
    <w:uiPriority w:val="99"/>
    <w:unhideWhenUsed/>
    <w:rsid w:val="000B6335"/>
    <w:rPr>
      <w:color w:val="0563C1" w:themeColor="hyperlink"/>
      <w:u w:val="single"/>
    </w:rPr>
  </w:style>
  <w:style w:type="character" w:customStyle="1" w:styleId="UnresolvedMention1">
    <w:name w:val="Unresolved Mention1"/>
    <w:basedOn w:val="DefaultParagraphFont"/>
    <w:uiPriority w:val="99"/>
    <w:semiHidden/>
    <w:unhideWhenUsed/>
    <w:rsid w:val="000B6335"/>
    <w:rPr>
      <w:color w:val="605E5C"/>
      <w:shd w:val="clear" w:color="auto" w:fill="E1DFDD"/>
    </w:rPr>
  </w:style>
  <w:style w:type="character" w:styleId="FollowedHyperlink">
    <w:name w:val="FollowedHyperlink"/>
    <w:basedOn w:val="DefaultParagraphFont"/>
    <w:uiPriority w:val="99"/>
    <w:semiHidden/>
    <w:unhideWhenUsed/>
    <w:rsid w:val="000B6335"/>
    <w:rPr>
      <w:color w:val="954F72" w:themeColor="followedHyperlink"/>
      <w:u w:val="single"/>
    </w:rPr>
  </w:style>
  <w:style w:type="paragraph" w:styleId="BalloonText">
    <w:name w:val="Balloon Text"/>
    <w:basedOn w:val="Normal"/>
    <w:link w:val="BalloonTextChar"/>
    <w:uiPriority w:val="99"/>
    <w:semiHidden/>
    <w:unhideWhenUsed/>
    <w:rsid w:val="0033303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3303C"/>
    <w:rPr>
      <w:rFonts w:ascii="Segoe UI" w:hAnsi="Segoe UI" w:cs="Segoe UI"/>
      <w:sz w:val="18"/>
      <w:szCs w:val="18"/>
    </w:rPr>
  </w:style>
  <w:style w:type="character" w:customStyle="1" w:styleId="Heading1Char">
    <w:name w:val="Heading 1 Char"/>
    <w:basedOn w:val="DefaultParagraphFont"/>
    <w:link w:val="Heading1"/>
    <w:uiPriority w:val="9"/>
    <w:rsid w:val="00AC62D9"/>
    <w:rPr>
      <w:rFonts w:ascii="Arial" w:eastAsiaTheme="majorEastAsia" w:hAnsi="Arial" w:cstheme="majorBidi"/>
      <w:color w:val="2F5496" w:themeColor="accent1" w:themeShade="BF"/>
      <w:sz w:val="32"/>
      <w:szCs w:val="32"/>
    </w:rPr>
  </w:style>
  <w:style w:type="paragraph" w:styleId="TOCHeading">
    <w:name w:val="TOC Heading"/>
    <w:basedOn w:val="PreHeading"/>
    <w:next w:val="Normal"/>
    <w:uiPriority w:val="39"/>
    <w:unhideWhenUsed/>
    <w:rsid w:val="00453225"/>
  </w:style>
  <w:style w:type="paragraph" w:styleId="TOC2">
    <w:name w:val="toc 2"/>
    <w:basedOn w:val="Normal"/>
    <w:next w:val="Normal"/>
    <w:autoRedefine/>
    <w:uiPriority w:val="39"/>
    <w:unhideWhenUsed/>
    <w:rsid w:val="00815D31"/>
    <w:pPr>
      <w:spacing w:after="100"/>
      <w:ind w:left="216"/>
    </w:pPr>
    <w:rPr>
      <w:rFonts w:eastAsiaTheme="minorEastAsia" w:cs="Times New Roman"/>
    </w:rPr>
  </w:style>
  <w:style w:type="paragraph" w:styleId="TOC1">
    <w:name w:val="toc 1"/>
    <w:basedOn w:val="Normal"/>
    <w:next w:val="Normal"/>
    <w:autoRedefine/>
    <w:uiPriority w:val="39"/>
    <w:unhideWhenUsed/>
    <w:rsid w:val="005369FF"/>
    <w:pPr>
      <w:spacing w:after="100"/>
    </w:pPr>
    <w:rPr>
      <w:rFonts w:eastAsiaTheme="minorEastAsia" w:cs="Times New Roman"/>
    </w:rPr>
  </w:style>
  <w:style w:type="paragraph" w:styleId="TOC3">
    <w:name w:val="toc 3"/>
    <w:basedOn w:val="Normal"/>
    <w:next w:val="Normal"/>
    <w:autoRedefine/>
    <w:uiPriority w:val="39"/>
    <w:unhideWhenUsed/>
    <w:rsid w:val="00815D31"/>
    <w:pPr>
      <w:spacing w:after="100"/>
      <w:ind w:left="446"/>
    </w:pPr>
    <w:rPr>
      <w:rFonts w:eastAsiaTheme="minorEastAsia" w:cs="Times New Roman"/>
    </w:rPr>
  </w:style>
  <w:style w:type="character" w:customStyle="1" w:styleId="Heading2Char">
    <w:name w:val="Heading 2 Char"/>
    <w:basedOn w:val="DefaultParagraphFont"/>
    <w:link w:val="Heading2"/>
    <w:uiPriority w:val="9"/>
    <w:rsid w:val="00AC62D9"/>
    <w:rPr>
      <w:rFonts w:ascii="Arial" w:eastAsiaTheme="majorEastAsia" w:hAnsi="Arial" w:cstheme="majorBidi"/>
      <w:color w:val="2F5496" w:themeColor="accent1" w:themeShade="BF"/>
      <w:sz w:val="28"/>
      <w:szCs w:val="26"/>
    </w:rPr>
  </w:style>
  <w:style w:type="character" w:customStyle="1" w:styleId="Heading3Char">
    <w:name w:val="Heading 3 Char"/>
    <w:basedOn w:val="DefaultParagraphFont"/>
    <w:link w:val="Heading3"/>
    <w:uiPriority w:val="9"/>
    <w:rsid w:val="00194FA8"/>
    <w:rPr>
      <w:rFonts w:ascii="Arial" w:eastAsia="Times New Roman" w:hAnsi="Arial" w:cs="Times New Roman"/>
      <w:bCs/>
      <w:color w:val="2F5496" w:themeColor="accent1" w:themeShade="BF"/>
      <w:sz w:val="24"/>
      <w:szCs w:val="27"/>
    </w:rPr>
  </w:style>
  <w:style w:type="character" w:styleId="CommentReference">
    <w:name w:val="annotation reference"/>
    <w:basedOn w:val="DefaultParagraphFont"/>
    <w:uiPriority w:val="99"/>
    <w:semiHidden/>
    <w:unhideWhenUsed/>
    <w:rsid w:val="00EB7D07"/>
    <w:rPr>
      <w:sz w:val="16"/>
      <w:szCs w:val="16"/>
    </w:rPr>
  </w:style>
  <w:style w:type="paragraph" w:styleId="CommentText">
    <w:name w:val="annotation text"/>
    <w:basedOn w:val="Normal"/>
    <w:link w:val="CommentTextChar"/>
    <w:uiPriority w:val="99"/>
    <w:semiHidden/>
    <w:unhideWhenUsed/>
    <w:rsid w:val="00EB7D07"/>
    <w:pPr>
      <w:spacing w:line="240" w:lineRule="auto"/>
    </w:pPr>
    <w:rPr>
      <w:sz w:val="20"/>
      <w:szCs w:val="20"/>
    </w:rPr>
  </w:style>
  <w:style w:type="character" w:customStyle="1" w:styleId="CommentTextChar">
    <w:name w:val="Comment Text Char"/>
    <w:basedOn w:val="DefaultParagraphFont"/>
    <w:link w:val="CommentText"/>
    <w:uiPriority w:val="99"/>
    <w:semiHidden/>
    <w:rsid w:val="00EB7D0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EB7D07"/>
    <w:rPr>
      <w:b/>
      <w:bCs/>
    </w:rPr>
  </w:style>
  <w:style w:type="character" w:customStyle="1" w:styleId="CommentSubjectChar">
    <w:name w:val="Comment Subject Char"/>
    <w:basedOn w:val="CommentTextChar"/>
    <w:link w:val="CommentSubject"/>
    <w:uiPriority w:val="99"/>
    <w:semiHidden/>
    <w:rsid w:val="00EB7D07"/>
    <w:rPr>
      <w:rFonts w:ascii="Arial" w:hAnsi="Arial"/>
      <w:b/>
      <w:bCs/>
      <w:sz w:val="20"/>
      <w:szCs w:val="20"/>
    </w:rPr>
  </w:style>
  <w:style w:type="paragraph" w:customStyle="1" w:styleId="Intro">
    <w:name w:val="Intro"/>
    <w:basedOn w:val="Normal"/>
    <w:rsid w:val="006D78A2"/>
    <w:pPr>
      <w:jc w:val="center"/>
    </w:pPr>
    <w:rPr>
      <w:sz w:val="30"/>
    </w:rPr>
  </w:style>
  <w:style w:type="paragraph" w:styleId="Title">
    <w:name w:val="Title"/>
    <w:basedOn w:val="Normal"/>
    <w:next w:val="Normal"/>
    <w:link w:val="TitleChar"/>
    <w:uiPriority w:val="10"/>
    <w:rsid w:val="00EC59CA"/>
    <w:pPr>
      <w:spacing w:before="0" w:line="240" w:lineRule="auto"/>
      <w:jc w:val="center"/>
    </w:pPr>
    <w:rPr>
      <w:rFonts w:eastAsiaTheme="majorEastAsia" w:cstheme="majorBidi"/>
      <w:b/>
      <w:color w:val="1C4587"/>
      <w:spacing w:val="-10"/>
      <w:kern w:val="28"/>
      <w:sz w:val="72"/>
      <w:szCs w:val="56"/>
    </w:rPr>
  </w:style>
  <w:style w:type="character" w:customStyle="1" w:styleId="TitleChar">
    <w:name w:val="Title Char"/>
    <w:basedOn w:val="DefaultParagraphFont"/>
    <w:link w:val="Title"/>
    <w:uiPriority w:val="10"/>
    <w:rsid w:val="00EC59CA"/>
    <w:rPr>
      <w:rFonts w:ascii="Arial" w:eastAsiaTheme="majorEastAsia" w:hAnsi="Arial" w:cstheme="majorBidi"/>
      <w:b/>
      <w:color w:val="1C4587"/>
      <w:spacing w:val="-10"/>
      <w:kern w:val="28"/>
      <w:sz w:val="72"/>
      <w:szCs w:val="56"/>
    </w:rPr>
  </w:style>
  <w:style w:type="paragraph" w:customStyle="1" w:styleId="Affil">
    <w:name w:val="Affil"/>
    <w:basedOn w:val="Normal"/>
    <w:rsid w:val="003113D8"/>
    <w:pPr>
      <w:tabs>
        <w:tab w:val="left" w:pos="2552"/>
      </w:tabs>
      <w:spacing w:before="0"/>
    </w:pPr>
  </w:style>
  <w:style w:type="character" w:customStyle="1" w:styleId="Heading4Char">
    <w:name w:val="Heading 4 Char"/>
    <w:basedOn w:val="DefaultParagraphFont"/>
    <w:link w:val="Heading4"/>
    <w:uiPriority w:val="9"/>
    <w:semiHidden/>
    <w:rsid w:val="00BD7554"/>
    <w:rPr>
      <w:rFonts w:ascii="Arial" w:eastAsiaTheme="majorEastAsia" w:hAnsi="Arial" w:cstheme="majorBidi"/>
      <w:iCs/>
      <w:sz w:val="24"/>
    </w:rPr>
  </w:style>
  <w:style w:type="character" w:customStyle="1" w:styleId="Heading5Char">
    <w:name w:val="Heading 5 Char"/>
    <w:basedOn w:val="DefaultParagraphFont"/>
    <w:link w:val="Heading5"/>
    <w:uiPriority w:val="9"/>
    <w:semiHidden/>
    <w:rsid w:val="00386935"/>
    <w:rPr>
      <w:rFonts w:asciiTheme="majorHAnsi" w:eastAsiaTheme="majorEastAsia" w:hAnsiTheme="majorHAnsi" w:cstheme="majorBidi"/>
      <w:color w:val="2F5496" w:themeColor="accent1" w:themeShade="BF"/>
      <w:sz w:val="24"/>
    </w:rPr>
  </w:style>
  <w:style w:type="character" w:customStyle="1" w:styleId="Heading6Char">
    <w:name w:val="Heading 6 Char"/>
    <w:basedOn w:val="DefaultParagraphFont"/>
    <w:link w:val="Heading6"/>
    <w:uiPriority w:val="9"/>
    <w:semiHidden/>
    <w:rsid w:val="00386935"/>
    <w:rPr>
      <w:rFonts w:asciiTheme="majorHAnsi" w:eastAsiaTheme="majorEastAsia" w:hAnsiTheme="majorHAnsi" w:cstheme="majorBidi"/>
      <w:color w:val="1F3763" w:themeColor="accent1" w:themeShade="7F"/>
      <w:sz w:val="24"/>
    </w:rPr>
  </w:style>
  <w:style w:type="character" w:customStyle="1" w:styleId="Heading7Char">
    <w:name w:val="Heading 7 Char"/>
    <w:basedOn w:val="DefaultParagraphFont"/>
    <w:link w:val="Heading7"/>
    <w:uiPriority w:val="9"/>
    <w:semiHidden/>
    <w:rsid w:val="00386935"/>
    <w:rPr>
      <w:rFonts w:asciiTheme="majorHAnsi" w:eastAsiaTheme="majorEastAsia" w:hAnsiTheme="majorHAnsi" w:cstheme="majorBidi"/>
      <w:i/>
      <w:iCs/>
      <w:color w:val="1F3763" w:themeColor="accent1" w:themeShade="7F"/>
      <w:sz w:val="24"/>
    </w:rPr>
  </w:style>
  <w:style w:type="character" w:customStyle="1" w:styleId="Heading8Char">
    <w:name w:val="Heading 8 Char"/>
    <w:basedOn w:val="DefaultParagraphFont"/>
    <w:link w:val="Heading8"/>
    <w:uiPriority w:val="9"/>
    <w:semiHidden/>
    <w:rsid w:val="0038693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86935"/>
    <w:rPr>
      <w:rFonts w:asciiTheme="majorHAnsi" w:eastAsiaTheme="majorEastAsia" w:hAnsiTheme="majorHAnsi" w:cstheme="majorBidi"/>
      <w:i/>
      <w:iCs/>
      <w:color w:val="272727" w:themeColor="text1" w:themeTint="D8"/>
      <w:sz w:val="21"/>
      <w:szCs w:val="21"/>
    </w:rPr>
  </w:style>
  <w:style w:type="character" w:styleId="Strong">
    <w:name w:val="Strong"/>
    <w:basedOn w:val="DefaultParagraphFont"/>
    <w:uiPriority w:val="22"/>
    <w:qFormat/>
    <w:rsid w:val="00CA70DC"/>
    <w:rPr>
      <w:b/>
      <w:bCs/>
    </w:rPr>
  </w:style>
  <w:style w:type="paragraph" w:customStyle="1" w:styleId="Disclaim">
    <w:name w:val="Disclaim"/>
    <w:basedOn w:val="Normal"/>
    <w:rsid w:val="008B66F5"/>
    <w:rPr>
      <w:color w:val="595959" w:themeColor="text1" w:themeTint="A6"/>
      <w:lang w:val="en-GB"/>
    </w:rPr>
  </w:style>
  <w:style w:type="table" w:styleId="GridTable1Light-Accent1">
    <w:name w:val="Grid Table 1 Light Accent 1"/>
    <w:basedOn w:val="TableNormal"/>
    <w:uiPriority w:val="46"/>
    <w:rsid w:val="00EB4187"/>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customStyle="1" w:styleId="TBL-1">
    <w:name w:val="TBL-1"/>
    <w:basedOn w:val="Normal"/>
    <w:qFormat/>
    <w:rsid w:val="00C313AE"/>
    <w:pPr>
      <w:spacing w:before="0" w:line="240" w:lineRule="auto"/>
      <w:jc w:val="left"/>
    </w:pPr>
    <w:rPr>
      <w:bCs/>
    </w:rPr>
  </w:style>
  <w:style w:type="paragraph" w:customStyle="1" w:styleId="PreHeading">
    <w:name w:val="PreHeading"/>
    <w:basedOn w:val="Heading1"/>
    <w:next w:val="Normal"/>
    <w:qFormat/>
    <w:rsid w:val="00216ABF"/>
    <w:pPr>
      <w:numPr>
        <w:numId w:val="0"/>
      </w:numPr>
      <w:spacing w:line="240" w:lineRule="auto"/>
      <w:outlineLvl w:val="9"/>
    </w:pPr>
  </w:style>
  <w:style w:type="paragraph" w:customStyle="1" w:styleId="Bull-3">
    <w:name w:val="Bull-3"/>
    <w:basedOn w:val="Bull-2"/>
    <w:qFormat/>
    <w:rsid w:val="006E0AE7"/>
    <w:pPr>
      <w:numPr>
        <w:numId w:val="28"/>
      </w:numPr>
      <w:spacing w:before="0"/>
      <w:ind w:left="1191" w:hanging="340"/>
    </w:pPr>
  </w:style>
  <w:style w:type="paragraph" w:customStyle="1" w:styleId="Num-1">
    <w:name w:val="Num-1"/>
    <w:basedOn w:val="Bull-1"/>
    <w:qFormat/>
    <w:rsid w:val="005C7043"/>
    <w:pPr>
      <w:numPr>
        <w:numId w:val="16"/>
      </w:numPr>
    </w:pPr>
  </w:style>
  <w:style w:type="paragraph" w:customStyle="1" w:styleId="Num-2">
    <w:name w:val="Num-2"/>
    <w:basedOn w:val="Num-1"/>
    <w:qFormat/>
    <w:rsid w:val="005C7043"/>
    <w:pPr>
      <w:numPr>
        <w:ilvl w:val="1"/>
      </w:numPr>
      <w:spacing w:before="40"/>
    </w:pPr>
  </w:style>
  <w:style w:type="paragraph" w:customStyle="1" w:styleId="Num-3">
    <w:name w:val="Num-3"/>
    <w:basedOn w:val="Num-2"/>
    <w:qFormat/>
    <w:rsid w:val="005C7043"/>
    <w:pPr>
      <w:numPr>
        <w:ilvl w:val="2"/>
      </w:numPr>
      <w:spacing w:before="0"/>
      <w:contextualSpacing w:val="0"/>
    </w:pPr>
  </w:style>
  <w:style w:type="numbering" w:customStyle="1" w:styleId="LFO3">
    <w:name w:val="LFO3"/>
    <w:basedOn w:val="NoList"/>
    <w:rsid w:val="009773F5"/>
    <w:pPr>
      <w:numPr>
        <w:numId w:val="3"/>
      </w:numPr>
    </w:pPr>
  </w:style>
  <w:style w:type="numbering" w:customStyle="1" w:styleId="LFO5">
    <w:name w:val="LFO5"/>
    <w:basedOn w:val="NoList"/>
    <w:rsid w:val="009773F5"/>
    <w:pPr>
      <w:numPr>
        <w:numId w:val="4"/>
      </w:numPr>
    </w:pPr>
  </w:style>
  <w:style w:type="character" w:styleId="Emphasis">
    <w:name w:val="Emphasis"/>
    <w:basedOn w:val="DefaultParagraphFont"/>
    <w:uiPriority w:val="20"/>
    <w:qFormat/>
    <w:rsid w:val="00880DEA"/>
    <w:rPr>
      <w:i/>
      <w:iCs/>
    </w:rPr>
  </w:style>
  <w:style w:type="paragraph" w:customStyle="1" w:styleId="Bull-1">
    <w:name w:val="Bull-1"/>
    <w:basedOn w:val="Normal"/>
    <w:qFormat/>
    <w:rsid w:val="006E0AE7"/>
    <w:pPr>
      <w:keepLines/>
      <w:numPr>
        <w:numId w:val="26"/>
      </w:numPr>
      <w:tabs>
        <w:tab w:val="left" w:pos="510"/>
        <w:tab w:val="left" w:pos="851"/>
        <w:tab w:val="left" w:pos="1191"/>
      </w:tabs>
      <w:suppressAutoHyphens/>
      <w:autoSpaceDN w:val="0"/>
      <w:spacing w:before="80"/>
      <w:ind w:left="510" w:hanging="340"/>
      <w:contextualSpacing/>
    </w:pPr>
    <w:rPr>
      <w:rFonts w:eastAsia="Calibri" w:cs="Times New Roman"/>
      <w:lang w:val="en-GB"/>
    </w:rPr>
  </w:style>
  <w:style w:type="paragraph" w:customStyle="1" w:styleId="Num1">
    <w:name w:val="Num1"/>
    <w:basedOn w:val="Bull-1"/>
    <w:rsid w:val="006E32E8"/>
    <w:pPr>
      <w:suppressAutoHyphens w:val="0"/>
      <w:ind w:left="0" w:firstLine="0"/>
    </w:pPr>
    <w:rPr>
      <w:lang w:val="en-US"/>
    </w:rPr>
  </w:style>
  <w:style w:type="paragraph" w:customStyle="1" w:styleId="BUL-2">
    <w:name w:val="BUL-2"/>
    <w:basedOn w:val="Bull-1"/>
    <w:rsid w:val="00001B9D"/>
    <w:pPr>
      <w:suppressAutoHyphens w:val="0"/>
      <w:spacing w:before="40"/>
      <w:ind w:left="681"/>
    </w:pPr>
  </w:style>
  <w:style w:type="paragraph" w:styleId="Caption">
    <w:name w:val="caption"/>
    <w:basedOn w:val="Normal"/>
    <w:next w:val="Normal"/>
    <w:unhideWhenUsed/>
    <w:qFormat/>
    <w:rsid w:val="008A4DF3"/>
    <w:pPr>
      <w:keepLines/>
      <w:spacing w:before="60" w:after="240" w:line="240" w:lineRule="auto"/>
    </w:pPr>
    <w:rPr>
      <w:b/>
      <w:iCs/>
      <w:color w:val="595959" w:themeColor="text1" w:themeTint="A6"/>
      <w:sz w:val="20"/>
      <w:szCs w:val="18"/>
    </w:rPr>
  </w:style>
  <w:style w:type="paragraph" w:customStyle="1" w:styleId="Bull-2">
    <w:name w:val="Bull-2"/>
    <w:basedOn w:val="Bull-1"/>
    <w:qFormat/>
    <w:rsid w:val="006E0AE7"/>
    <w:pPr>
      <w:numPr>
        <w:numId w:val="27"/>
      </w:numPr>
      <w:suppressAutoHyphens w:val="0"/>
      <w:spacing w:before="40"/>
      <w:ind w:left="850" w:hanging="340"/>
    </w:pPr>
  </w:style>
  <w:style w:type="paragraph" w:styleId="Revision">
    <w:name w:val="Revision"/>
    <w:hidden/>
    <w:uiPriority w:val="99"/>
    <w:semiHidden/>
    <w:rsid w:val="00E7473B"/>
    <w:pPr>
      <w:spacing w:after="0" w:line="240" w:lineRule="auto"/>
    </w:pPr>
    <w:rPr>
      <w:rFonts w:ascii="Arial" w:hAnsi="Arial"/>
      <w:sz w:val="24"/>
    </w:rPr>
  </w:style>
  <w:style w:type="paragraph" w:customStyle="1" w:styleId="REFs">
    <w:name w:val="REFs"/>
    <w:basedOn w:val="Normal"/>
    <w:qFormat/>
    <w:rsid w:val="005D3450"/>
    <w:pPr>
      <w:keepLines/>
      <w:numPr>
        <w:numId w:val="29"/>
      </w:numPr>
      <w:tabs>
        <w:tab w:val="left" w:pos="431"/>
      </w:tabs>
      <w:spacing w:line="240" w:lineRule="auto"/>
      <w:ind w:left="431" w:hanging="431"/>
    </w:pPr>
  </w:style>
  <w:style w:type="paragraph" w:styleId="BodyText">
    <w:name w:val="Body Text"/>
    <w:basedOn w:val="Normal"/>
    <w:link w:val="BodyTextChar"/>
    <w:uiPriority w:val="99"/>
    <w:rsid w:val="00CF15E0"/>
    <w:pPr>
      <w:suppressAutoHyphens/>
      <w:spacing w:before="0" w:after="120" w:line="276" w:lineRule="auto"/>
      <w:jc w:val="left"/>
    </w:pPr>
    <w:rPr>
      <w:rFonts w:ascii="Calibri" w:eastAsia="Times New Roman" w:hAnsi="Calibri" w:cs="Calibri"/>
      <w:color w:val="000000"/>
      <w:kern w:val="1"/>
      <w:szCs w:val="24"/>
      <w:lang w:val="en-GB" w:eastAsia="ar-SA"/>
    </w:rPr>
  </w:style>
  <w:style w:type="character" w:customStyle="1" w:styleId="BodyTextChar">
    <w:name w:val="Body Text Char"/>
    <w:basedOn w:val="DefaultParagraphFont"/>
    <w:link w:val="BodyText"/>
    <w:uiPriority w:val="99"/>
    <w:rsid w:val="00CF15E0"/>
    <w:rPr>
      <w:rFonts w:ascii="Calibri" w:eastAsia="Times New Roman" w:hAnsi="Calibri" w:cs="Calibri"/>
      <w:color w:val="000000"/>
      <w:kern w:val="1"/>
      <w:sz w:val="24"/>
      <w:szCs w:val="24"/>
      <w:lang w:val="en-GB" w:eastAsia="ar-SA"/>
    </w:rPr>
  </w:style>
  <w:style w:type="paragraph" w:styleId="ListParagraph">
    <w:name w:val="List Paragraph"/>
    <w:basedOn w:val="Normal"/>
    <w:uiPriority w:val="99"/>
    <w:qFormat/>
    <w:rsid w:val="00CF15E0"/>
    <w:pPr>
      <w:ind w:left="720"/>
      <w:contextualSpacing/>
    </w:pPr>
  </w:style>
  <w:style w:type="paragraph" w:customStyle="1" w:styleId="Lamans111">
    <w:name w:val="Lamans1.1.1"/>
    <w:link w:val="Lamans111Char"/>
    <w:rsid w:val="00CF15E0"/>
    <w:pPr>
      <w:spacing w:before="120" w:after="120" w:line="360" w:lineRule="auto"/>
      <w:jc w:val="both"/>
    </w:pPr>
    <w:rPr>
      <w:rFonts w:ascii="Arial" w:eastAsia="Times New Roman" w:hAnsi="Arial" w:cs="Arial"/>
      <w:b/>
      <w:i/>
      <w:lang w:val="el-GR" w:eastAsia="el-GR"/>
    </w:rPr>
  </w:style>
  <w:style w:type="character" w:customStyle="1" w:styleId="Lamans111Char">
    <w:name w:val="Lamans1.1.1 Char"/>
    <w:basedOn w:val="DefaultParagraphFont"/>
    <w:link w:val="Lamans111"/>
    <w:rsid w:val="00CF15E0"/>
    <w:rPr>
      <w:rFonts w:ascii="Arial" w:eastAsia="Times New Roman" w:hAnsi="Arial" w:cs="Arial"/>
      <w:b/>
      <w:i/>
      <w:lang w:val="el-GR" w:eastAsia="el-GR"/>
    </w:rPr>
  </w:style>
  <w:style w:type="paragraph" w:styleId="Bibliography">
    <w:name w:val="Bibliography"/>
    <w:basedOn w:val="Normal"/>
    <w:next w:val="Normal"/>
    <w:uiPriority w:val="37"/>
    <w:semiHidden/>
    <w:unhideWhenUsed/>
    <w:rsid w:val="00A43607"/>
  </w:style>
  <w:style w:type="table" w:styleId="TableGridLight">
    <w:name w:val="Grid Table Light"/>
    <w:basedOn w:val="TableNormal"/>
    <w:uiPriority w:val="40"/>
    <w:rsid w:val="002E490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ableofFigures">
    <w:name w:val="table of figures"/>
    <w:basedOn w:val="Normal"/>
    <w:next w:val="Normal"/>
    <w:uiPriority w:val="99"/>
    <w:unhideWhenUsed/>
    <w:rsid w:val="00294807"/>
  </w:style>
  <w:style w:type="paragraph" w:customStyle="1" w:styleId="xl63">
    <w:name w:val="xl63"/>
    <w:basedOn w:val="Normal"/>
    <w:rsid w:val="002B6337"/>
    <w:pPr>
      <w:spacing w:before="100" w:beforeAutospacing="1" w:after="100" w:afterAutospacing="1" w:line="240" w:lineRule="auto"/>
      <w:jc w:val="center"/>
      <w:textAlignment w:val="center"/>
    </w:pPr>
    <w:rPr>
      <w:rFonts w:ascii="Times New Roman" w:eastAsia="Times New Roman" w:hAnsi="Times New Roman" w:cs="Times New Roman"/>
      <w:szCs w:val="24"/>
      <w:lang w:val="en-GB" w:eastAsia="en-GB"/>
    </w:rPr>
  </w:style>
  <w:style w:type="paragraph" w:customStyle="1" w:styleId="xl64">
    <w:name w:val="xl64"/>
    <w:basedOn w:val="Normal"/>
    <w:rsid w:val="002B6337"/>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jc w:val="center"/>
      <w:textAlignment w:val="center"/>
    </w:pPr>
    <w:rPr>
      <w:rFonts w:ascii="Times New Roman" w:eastAsia="Times New Roman" w:hAnsi="Times New Roman" w:cs="Times New Roman"/>
      <w:b/>
      <w:bCs/>
      <w:szCs w:val="24"/>
      <w:lang w:val="en-GB" w:eastAsia="en-GB"/>
    </w:rPr>
  </w:style>
  <w:style w:type="paragraph" w:customStyle="1" w:styleId="xl65">
    <w:name w:val="xl65"/>
    <w:basedOn w:val="Normal"/>
    <w:rsid w:val="002B633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Cs w:val="24"/>
      <w:lang w:val="en-GB" w:eastAsia="en-GB"/>
    </w:rPr>
  </w:style>
  <w:style w:type="character" w:styleId="PlaceholderText">
    <w:name w:val="Placeholder Text"/>
    <w:basedOn w:val="DefaultParagraphFont"/>
    <w:uiPriority w:val="99"/>
    <w:semiHidden/>
    <w:rsid w:val="00517F6B"/>
    <w:rPr>
      <w:color w:val="808080"/>
    </w:rPr>
  </w:style>
  <w:style w:type="paragraph" w:styleId="ListBullet5">
    <w:name w:val="List Bullet 5"/>
    <w:basedOn w:val="Normal"/>
    <w:autoRedefine/>
    <w:rsid w:val="0083452B"/>
    <w:pPr>
      <w:tabs>
        <w:tab w:val="num" w:pos="1492"/>
      </w:tabs>
      <w:spacing w:before="0" w:after="240" w:line="240" w:lineRule="auto"/>
      <w:ind w:left="1492" w:hanging="360"/>
    </w:pPr>
    <w:rPr>
      <w:rFonts w:ascii="Verdana" w:eastAsia="Times New Roman" w:hAnsi="Verdana" w:cs="Times New 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193572">
      <w:bodyDiv w:val="1"/>
      <w:marLeft w:val="0"/>
      <w:marRight w:val="0"/>
      <w:marTop w:val="0"/>
      <w:marBottom w:val="0"/>
      <w:divBdr>
        <w:top w:val="none" w:sz="0" w:space="0" w:color="auto"/>
        <w:left w:val="none" w:sz="0" w:space="0" w:color="auto"/>
        <w:bottom w:val="none" w:sz="0" w:space="0" w:color="auto"/>
        <w:right w:val="none" w:sz="0" w:space="0" w:color="auto"/>
      </w:divBdr>
    </w:div>
    <w:div w:id="466162208">
      <w:bodyDiv w:val="1"/>
      <w:marLeft w:val="0"/>
      <w:marRight w:val="0"/>
      <w:marTop w:val="0"/>
      <w:marBottom w:val="0"/>
      <w:divBdr>
        <w:top w:val="none" w:sz="0" w:space="0" w:color="auto"/>
        <w:left w:val="none" w:sz="0" w:space="0" w:color="auto"/>
        <w:bottom w:val="none" w:sz="0" w:space="0" w:color="auto"/>
        <w:right w:val="none" w:sz="0" w:space="0" w:color="auto"/>
      </w:divBdr>
    </w:div>
    <w:div w:id="842936475">
      <w:bodyDiv w:val="1"/>
      <w:marLeft w:val="0"/>
      <w:marRight w:val="0"/>
      <w:marTop w:val="0"/>
      <w:marBottom w:val="0"/>
      <w:divBdr>
        <w:top w:val="none" w:sz="0" w:space="0" w:color="auto"/>
        <w:left w:val="none" w:sz="0" w:space="0" w:color="auto"/>
        <w:bottom w:val="none" w:sz="0" w:space="0" w:color="auto"/>
        <w:right w:val="none" w:sz="0" w:space="0" w:color="auto"/>
      </w:divBdr>
      <w:divsChild>
        <w:div w:id="2144344974">
          <w:marLeft w:val="0"/>
          <w:marRight w:val="0"/>
          <w:marTop w:val="0"/>
          <w:marBottom w:val="0"/>
          <w:divBdr>
            <w:top w:val="none" w:sz="0" w:space="0" w:color="auto"/>
            <w:left w:val="none" w:sz="0" w:space="0" w:color="auto"/>
            <w:bottom w:val="none" w:sz="0" w:space="0" w:color="auto"/>
            <w:right w:val="none" w:sz="0" w:space="0" w:color="auto"/>
          </w:divBdr>
        </w:div>
      </w:divsChild>
    </w:div>
    <w:div w:id="1014845436">
      <w:bodyDiv w:val="1"/>
      <w:marLeft w:val="0"/>
      <w:marRight w:val="0"/>
      <w:marTop w:val="0"/>
      <w:marBottom w:val="0"/>
      <w:divBdr>
        <w:top w:val="none" w:sz="0" w:space="0" w:color="auto"/>
        <w:left w:val="none" w:sz="0" w:space="0" w:color="auto"/>
        <w:bottom w:val="none" w:sz="0" w:space="0" w:color="auto"/>
        <w:right w:val="none" w:sz="0" w:space="0" w:color="auto"/>
      </w:divBdr>
    </w:div>
    <w:div w:id="1056785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png"/><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footer" Target="footer1.xml"/><Relationship Id="rId53" Type="http://schemas.openxmlformats.org/officeDocument/2006/relationships/header" Target="header2.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header" Target="header1.xml"/><Relationship Id="rId52" Type="http://schemas.openxmlformats.org/officeDocument/2006/relationships/hyperlink" Target="https://doi.org/10.1016/j.csr.2015.05.013"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5.png"/><Relationship Id="rId8" Type="http://schemas.openxmlformats.org/officeDocument/2006/relationships/webSettings" Target="webSettings.xml"/><Relationship Id="rId51" Type="http://schemas.openxmlformats.org/officeDocument/2006/relationships/hyperlink" Target="https://doi.org/10.1016/j.dsr2.2019.104711"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footer" Target="footer2.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eorge\Documents\Open_Sea_Aquaculture\OS_AQUA_YK\Implementation\Templates\OS%20Aqua%20Template%202021-08-0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F132954D22D7448B8643504A005BEAF" ma:contentTypeVersion="9" ma:contentTypeDescription="Create a new document." ma:contentTypeScope="" ma:versionID="6500c7d678e4f22e49b67341722ca99c">
  <xsd:schema xmlns:xsd="http://www.w3.org/2001/XMLSchema" xmlns:xs="http://www.w3.org/2001/XMLSchema" xmlns:p="http://schemas.microsoft.com/office/2006/metadata/properties" xmlns:ns2="52ecf36c-70ee-4391-90aa-a3ae7f757c39" targetNamespace="http://schemas.microsoft.com/office/2006/metadata/properties" ma:root="true" ma:fieldsID="9cd2e38b8b9585e652ef3d2976693303" ns2:_="">
    <xsd:import namespace="52ecf36c-70ee-4391-90aa-a3ae7f757c3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ecf36c-70ee-4391-90aa-a3ae7f757c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73F333-9860-4DF4-9FCF-15EAA2168D4D}">
  <ds:schemaRefs>
    <ds:schemaRef ds:uri="http://schemas.openxmlformats.org/officeDocument/2006/bibliography"/>
  </ds:schemaRefs>
</ds:datastoreItem>
</file>

<file path=customXml/itemProps2.xml><?xml version="1.0" encoding="utf-8"?>
<ds:datastoreItem xmlns:ds="http://schemas.openxmlformats.org/officeDocument/2006/customXml" ds:itemID="{C7892989-2949-4135-BBF9-E4432989825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AA4387C-92B2-4273-816A-11BB738161CD}">
  <ds:schemaRefs>
    <ds:schemaRef ds:uri="http://schemas.microsoft.com/sharepoint/v3/contenttype/forms"/>
  </ds:schemaRefs>
</ds:datastoreItem>
</file>

<file path=customXml/itemProps4.xml><?xml version="1.0" encoding="utf-8"?>
<ds:datastoreItem xmlns:ds="http://schemas.openxmlformats.org/officeDocument/2006/customXml" ds:itemID="{782A9B69-105F-42D4-A526-6CA9B9A1BE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2ecf36c-70ee-4391-90aa-a3ae7f757c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OS Aqua Template 2021-08-04.dotx</Template>
  <TotalTime>17</TotalTime>
  <Pages>35</Pages>
  <Words>7119</Words>
  <Characters>40584</Characters>
  <Application>Microsoft Office Word</Application>
  <DocSecurity>0</DocSecurity>
  <Lines>338</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47608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 V. Triantaphyllidis</dc:creator>
  <cp:keywords/>
  <dc:description/>
  <cp:lastModifiedBy>Ioannis Kyriakides</cp:lastModifiedBy>
  <cp:revision>8</cp:revision>
  <cp:lastPrinted>2021-12-03T14:09:00Z</cp:lastPrinted>
  <dcterms:created xsi:type="dcterms:W3CDTF">2023-08-27T10:38:00Z</dcterms:created>
  <dcterms:modified xsi:type="dcterms:W3CDTF">2023-09-11T03:15:00Z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0x0101003F132954D22D7448B8643504A005BEAF</vt:lpwstr>
  </property>
  <property fmtid="{D5CDD505-2E9C-101B-9397-08002B2CF9AE}" pid="3" name="GrammarlyDocumentId">
    <vt:lpwstr>b23cfdb147a9dee6f75592197d940de026f51da6e537a26352846b052fa71e5e</vt:lpwstr>
  </property>
</Properties>
</file>